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1A3D8">
      <w:pPr>
        <w:spacing w:line="600" w:lineRule="exact"/>
        <w:jc w:val="left"/>
        <w:outlineLvl w:val="9"/>
        <w:rPr>
          <w:rFonts w:ascii="方正小标宋简体" w:hAnsi="宋体" w:eastAsia="方正小标宋简体"/>
          <w:szCs w:val="21"/>
        </w:rPr>
      </w:pPr>
      <w:bookmarkStart w:id="0" w:name="_Toc15306267"/>
    </w:p>
    <w:p w14:paraId="4107D137">
      <w:pPr>
        <w:pStyle w:val="2"/>
        <w:spacing w:before="93"/>
      </w:pPr>
    </w:p>
    <w:p w14:paraId="70195C27">
      <w:pPr>
        <w:spacing w:line="600" w:lineRule="exact"/>
        <w:jc w:val="center"/>
        <w:outlineLvl w:val="9"/>
        <w:rPr>
          <w:rFonts w:ascii="方正小标宋简体" w:hAnsi="宋体" w:eastAsia="方正小标宋简体"/>
          <w:sz w:val="72"/>
          <w:szCs w:val="72"/>
        </w:rPr>
      </w:pPr>
    </w:p>
    <w:p w14:paraId="1E7AD931">
      <w:pPr>
        <w:spacing w:line="600" w:lineRule="exact"/>
        <w:jc w:val="center"/>
        <w:outlineLvl w:val="9"/>
        <w:rPr>
          <w:rFonts w:ascii="方正小标宋简体" w:hAnsi="宋体" w:eastAsia="方正小标宋简体"/>
          <w:sz w:val="72"/>
          <w:szCs w:val="72"/>
        </w:rPr>
      </w:pPr>
    </w:p>
    <w:p w14:paraId="62E8C18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27105"/>
      <w:bookmarkStart w:id="3" w:name="_Toc15378441"/>
      <w:bookmarkStart w:id="4" w:name="_Toc15396597"/>
      <w:bookmarkStart w:id="5" w:name="_Toc15377193"/>
      <w:bookmarkStart w:id="6"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406B685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476"/>
      <w:bookmarkStart w:id="8" w:name="_Toc15378442"/>
      <w:bookmarkStart w:id="9" w:name="_Toc8296"/>
      <w:bookmarkStart w:id="10" w:name="_Toc15377194"/>
      <w:bookmarkStart w:id="11" w:name="_Toc15377426"/>
      <w:bookmarkStart w:id="12" w:name="_Toc15396598"/>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凉山彝族自治州第一人民医院</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14:paraId="798BFFF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5D89E33">
      <w:pPr>
        <w:widowControl/>
        <w:jc w:val="center"/>
        <w:rPr>
          <w:rFonts w:ascii="黑体" w:hAnsi="黑体" w:eastAsia="黑体" w:cstheme="minorBidi"/>
          <w:sz w:val="28"/>
          <w:szCs w:val="28"/>
        </w:rPr>
      </w:pPr>
    </w:p>
    <w:p w14:paraId="55D3DADC">
      <w:pPr>
        <w:pStyle w:val="11"/>
      </w:pPr>
      <w:r>
        <w:rPr>
          <w:rFonts w:hint="eastAsia"/>
        </w:rPr>
        <w:t>公开时间：2023年</w:t>
      </w:r>
      <w:r>
        <w:rPr>
          <w:rFonts w:hint="eastAsia"/>
          <w:lang w:val="en-US" w:eastAsia="zh-CN"/>
        </w:rPr>
        <w:t>10</w:t>
      </w:r>
      <w:r>
        <w:rPr>
          <w:rFonts w:hint="eastAsia"/>
        </w:rPr>
        <w:t>月</w:t>
      </w:r>
      <w:r>
        <w:rPr>
          <w:rFonts w:hint="eastAsia"/>
          <w:lang w:val="en-US" w:eastAsia="zh-CN"/>
        </w:rPr>
        <w:t>10</w:t>
      </w:r>
      <w:r>
        <w:rPr>
          <w:rFonts w:hint="eastAsia"/>
        </w:rPr>
        <w:t>日</w:t>
      </w:r>
    </w:p>
    <w:sdt>
      <w:sdtPr>
        <w:rPr>
          <w:rFonts w:ascii="宋体" w:hAnsi="宋体" w:eastAsia="宋体" w:cs="Times New Roman"/>
          <w:kern w:val="2"/>
          <w:sz w:val="21"/>
          <w:szCs w:val="24"/>
          <w:lang w:val="en-US" w:eastAsia="zh-CN" w:bidi="ar-SA"/>
        </w:rPr>
        <w:id w:val="147468038"/>
        <w15:color w:val="DBDBDB"/>
        <w:docPartObj>
          <w:docPartGallery w:val="Table of Contents"/>
          <w:docPartUnique/>
        </w:docPartObj>
      </w:sdtPr>
      <w:sdtEndPr>
        <w:rPr>
          <w:rFonts w:hint="eastAsia" w:ascii="宋体" w:hAnsi="宋体" w:eastAsia="宋体" w:cs="宋体"/>
          <w:b w:val="0"/>
          <w:bCs w:val="0"/>
          <w:kern w:val="0"/>
          <w:sz w:val="24"/>
          <w:szCs w:val="24"/>
          <w:lang w:val="en-US" w:eastAsia="zh-CN" w:bidi="ar-SA"/>
        </w:rPr>
      </w:sdtEndPr>
      <w:sdtContent>
        <w:p w14:paraId="30E67C4F">
          <w:pPr>
            <w:spacing w:before="0" w:beforeLines="0" w:after="0" w:afterLines="0" w:line="240" w:lineRule="auto"/>
            <w:ind w:left="0" w:leftChars="0" w:right="0" w:rightChars="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"1-2" \h \u </w:instrText>
          </w:r>
          <w:r>
            <w:rPr>
              <w:rFonts w:hint="eastAsia" w:ascii="宋体" w:hAnsi="宋体" w:eastAsia="宋体" w:cs="宋体"/>
              <w:b w:val="0"/>
              <w:bCs w:val="0"/>
              <w:sz w:val="24"/>
              <w:szCs w:val="24"/>
            </w:rPr>
            <w:fldChar w:fldCharType="separate"/>
          </w:r>
        </w:p>
        <w:p w14:paraId="7159510A">
          <w:pPr>
            <w:pStyle w:val="34"/>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_Toc31455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第一部分 单位概况</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_Toc31455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7A372A9">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_Toc26561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一、主要职责</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_Toc26561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8710791">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_Toc26790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w:t>
          </w:r>
          <w:r>
            <w:rPr>
              <w:rFonts w:hint="eastAsia" w:ascii="宋体" w:hAnsi="宋体" w:eastAsia="宋体" w:cs="宋体"/>
              <w:b w:val="0"/>
              <w:bCs w:val="0"/>
              <w:sz w:val="24"/>
              <w:szCs w:val="24"/>
              <w:lang w:eastAsia="zh-CN"/>
            </w:rPr>
            <w:t>机构设置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_Toc26790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614B6F6">
          <w:pPr>
            <w:pStyle w:val="34"/>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_Toc20871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第二部分 2023年度单位决算情况说明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_Toc20871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B259FA4">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_Toc19878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一、收入支出决算总体情况说明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_Toc19878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D133ECC">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_Toc2228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二、收入决算情况说明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_Toc2228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865853B">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_Toc6589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三、支出决算情况说明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_Toc6589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E152878">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_Toc11243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四、财政拨款收入支出决算总体情况说明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_Toc11243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B90CF66">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_Toc25535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五、一般公共预算财政拨款支出决算情况说明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_Toc25535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EB5D3E4">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_Toc8568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六、一般公共预算财政拨款基本支出决算情况说明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_Toc8568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424A3EE">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_Toc6721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七、财政拨款“三公”经费支出决算情况说明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_Toc6721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218BE86">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_Toc6310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八、政府性基金预算支出决算情况说明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_Toc6310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FE7531E">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_Toc15339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九、国有资本经营预算支出决算情况说明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_Toc15339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60FA971">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_Toc11438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十、其他重要事项的情况说明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_Toc11438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6EA714D">
          <w:pPr>
            <w:pStyle w:val="34"/>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_Toc26848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第三部分 名词解释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_Toc26848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14B6FCE">
          <w:pPr>
            <w:pStyle w:val="34"/>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_Toc14148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第四部分 附件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_Toc14148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CC5A513">
          <w:pPr>
            <w:pStyle w:val="34"/>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_Toc11556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第五部分 附表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_Toc11556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347747E">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_Toc14254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一、收入支出决算总表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_Toc14254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3E7A0B8">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_Toc10796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二、收入决算表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_Toc10796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0F44B99">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_Toc18571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三、支出决算表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_Toc18571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5B63817">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_Toc18264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四、财政拨款收入支出决算总表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_Toc18264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5F46F91">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_Toc19177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五、财政拨款支出决算明细表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_Toc19177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53A47C3">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_Toc22331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六、一般公共预算财政拨款支出决算表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_Toc22331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DA0F452">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_Toc26726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七、一般公共预算财政拨款支出决算明细表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_Toc26726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B712061">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_Toc24818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八、一般公共预算财政拨款基本支出决算表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_Toc24818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B5A3228">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_Toc18388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九、一般公共预算财政拨款项目支出决算表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_Toc18388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CBD5D7E">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_Toc25480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十、政府性基金预算财政拨款收入支出决算表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_Toc25480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4F381CD">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_Toc6547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十一、国有资本经营预算财政拨款收入支出决算表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_Toc6547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DFAB30D">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_Toc11632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十二、国有资本经营预算财政拨款支出决算表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_Toc11632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B4F4EA6">
          <w:pPr>
            <w:pStyle w:val="35"/>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_Toc7051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十三、财政拨款“三公”经费支出决算表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_Toc7051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A347E53">
          <w:pPr>
            <w:widowControl/>
            <w:spacing w:line="440" w:lineRule="exact"/>
            <w:jc w:val="left"/>
            <w:rPr>
              <w:rFonts w:hint="eastAsia" w:ascii="宋体" w:hAnsi="宋体" w:eastAsia="宋体" w:cs="宋体"/>
              <w:b w:val="0"/>
              <w:bCs w:val="0"/>
              <w:kern w:val="44"/>
              <w:sz w:val="24"/>
              <w:szCs w:val="24"/>
            </w:rPr>
          </w:pPr>
          <w:r>
            <w:rPr>
              <w:rFonts w:hint="eastAsia" w:ascii="宋体" w:hAnsi="宋体" w:eastAsia="宋体" w:cs="宋体"/>
              <w:b w:val="0"/>
              <w:bCs w:val="0"/>
              <w:sz w:val="24"/>
              <w:szCs w:val="24"/>
            </w:rPr>
            <w:fldChar w:fldCharType="end"/>
          </w:r>
          <w:bookmarkStart w:id="14" w:name="_Toc15377196"/>
          <w:bookmarkStart w:id="15" w:name="_Toc15396599"/>
        </w:p>
      </w:sdtContent>
    </w:sdt>
    <w:p w14:paraId="759A7DC4">
      <w:pPr>
        <w:pStyle w:val="3"/>
        <w:jc w:val="center"/>
        <w:rPr>
          <w:rFonts w:hint="eastAsia" w:ascii="黑体" w:hAnsi="黑体" w:eastAsia="黑体"/>
          <w:b w:val="0"/>
        </w:rPr>
      </w:pPr>
      <w:bookmarkStart w:id="16" w:name="_Toc31455"/>
    </w:p>
    <w:p w14:paraId="01592DE7">
      <w:pPr>
        <w:pStyle w:val="3"/>
        <w:jc w:val="center"/>
        <w:rPr>
          <w:rFonts w:hint="eastAsia" w:ascii="黑体" w:hAnsi="黑体" w:eastAsia="黑体"/>
          <w:b w:val="0"/>
        </w:rPr>
      </w:pPr>
    </w:p>
    <w:p w14:paraId="407D0904">
      <w:pPr>
        <w:pStyle w:val="3"/>
        <w:jc w:val="center"/>
        <w:rPr>
          <w:rFonts w:hint="eastAsia" w:ascii="黑体" w:hAnsi="黑体" w:eastAsia="黑体"/>
          <w:b w:val="0"/>
        </w:rPr>
      </w:pPr>
    </w:p>
    <w:p w14:paraId="40B1A1E2">
      <w:pPr>
        <w:pStyle w:val="3"/>
        <w:jc w:val="center"/>
        <w:rPr>
          <w:rFonts w:hint="eastAsia" w:ascii="黑体" w:hAnsi="黑体" w:eastAsia="黑体"/>
          <w:b w:val="0"/>
        </w:rPr>
      </w:pPr>
    </w:p>
    <w:p w14:paraId="62C1E676">
      <w:pPr>
        <w:rPr>
          <w:rFonts w:hint="eastAsia" w:ascii="黑体" w:hAnsi="黑体" w:eastAsia="黑体"/>
          <w:b w:val="0"/>
        </w:rPr>
      </w:pPr>
    </w:p>
    <w:p w14:paraId="0F19121A">
      <w:pPr>
        <w:pStyle w:val="2"/>
        <w:rPr>
          <w:rFonts w:hint="eastAsia" w:ascii="黑体" w:hAnsi="黑体" w:eastAsia="黑体"/>
          <w:b w:val="0"/>
        </w:rPr>
      </w:pPr>
    </w:p>
    <w:p w14:paraId="723A0F50">
      <w:pPr>
        <w:pStyle w:val="2"/>
        <w:rPr>
          <w:rFonts w:hint="eastAsia" w:ascii="黑体" w:hAnsi="黑体" w:eastAsia="黑体"/>
          <w:b w:val="0"/>
        </w:rPr>
      </w:pPr>
    </w:p>
    <w:p w14:paraId="3B5B0ED1">
      <w:pPr>
        <w:pStyle w:val="2"/>
        <w:rPr>
          <w:rFonts w:hint="eastAsia" w:ascii="黑体" w:hAnsi="黑体" w:eastAsia="黑体"/>
          <w:b w:val="0"/>
        </w:rPr>
      </w:pPr>
    </w:p>
    <w:p w14:paraId="1BFA2E32">
      <w:pPr>
        <w:pStyle w:val="2"/>
        <w:rPr>
          <w:rFonts w:hint="eastAsia" w:ascii="黑体" w:hAnsi="黑体" w:eastAsia="黑体"/>
          <w:b w:val="0"/>
        </w:rPr>
      </w:pPr>
    </w:p>
    <w:p w14:paraId="21E24676">
      <w:pPr>
        <w:pStyle w:val="3"/>
        <w:jc w:val="both"/>
        <w:rPr>
          <w:rFonts w:hint="eastAsia" w:ascii="黑体" w:hAnsi="黑体" w:eastAsia="黑体"/>
          <w:b w:val="0"/>
        </w:rPr>
      </w:pPr>
    </w:p>
    <w:p w14:paraId="1A5D90DA">
      <w:pPr>
        <w:rPr>
          <w:rFonts w:hint="eastAsia"/>
        </w:rPr>
      </w:pPr>
    </w:p>
    <w:p w14:paraId="4A863CC2">
      <w:pPr>
        <w:pStyle w:val="3"/>
        <w:keepNext/>
        <w:keepLines/>
        <w:pageBreakBefore w:val="0"/>
        <w:widowControl w:val="0"/>
        <w:kinsoku/>
        <w:wordWrap/>
        <w:overflowPunct/>
        <w:topLinePunct w:val="0"/>
        <w:autoSpaceDE/>
        <w:autoSpaceDN/>
        <w:bidi w:val="0"/>
        <w:adjustRightInd/>
        <w:snapToGrid/>
        <w:spacing w:before="0" w:line="579" w:lineRule="auto"/>
        <w:jc w:val="center"/>
        <w:textAlignment w:val="auto"/>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4"/>
      <w:bookmarkEnd w:id="15"/>
      <w:bookmarkEnd w:id="16"/>
    </w:p>
    <w:p w14:paraId="2FF5A241">
      <w:pPr>
        <w:widowControl/>
        <w:jc w:val="left"/>
        <w:rPr>
          <w:rFonts w:ascii="黑体" w:eastAsia="黑体"/>
          <w:sz w:val="32"/>
          <w:szCs w:val="32"/>
        </w:rPr>
      </w:pPr>
    </w:p>
    <w:p w14:paraId="4829AB30">
      <w:pPr>
        <w:pStyle w:val="4"/>
        <w:numPr>
          <w:ilvl w:val="0"/>
          <w:numId w:val="1"/>
        </w:numPr>
        <w:rPr>
          <w:rStyle w:val="29"/>
          <w:rFonts w:ascii="黑体" w:hAnsi="黑体" w:eastAsia="黑体"/>
          <w:b w:val="0"/>
          <w:bCs w:val="0"/>
        </w:rPr>
      </w:pPr>
      <w:bookmarkStart w:id="17" w:name="_Toc26561"/>
      <w:bookmarkStart w:id="18" w:name="_Toc15396600"/>
      <w:bookmarkStart w:id="19" w:name="_Toc15377197"/>
      <w:r>
        <w:rPr>
          <w:rStyle w:val="29"/>
          <w:rFonts w:hint="eastAsia" w:ascii="黑体" w:hAnsi="黑体" w:eastAsia="黑体"/>
          <w:b w:val="0"/>
          <w:bCs w:val="0"/>
        </w:rPr>
        <w:t>主要职责</w:t>
      </w:r>
      <w:bookmarkEnd w:id="17"/>
    </w:p>
    <w:p w14:paraId="1A26A59A">
      <w:pPr>
        <w:pStyle w:val="13"/>
        <w:shd w:val="clear" w:color="auto" w:fill="FFFFFF"/>
        <w:spacing w:line="463" w:lineRule="atLeas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凉山彝族自治州第一人民医院系政府举办非营利性三级甲等综合医院，始建于1939年，原名西康卫生院，1956年改为西昌专区医院，1968年更名为西昌地区医院，1979年5月1日定名为凉山彝族自治州第一人民医院。</w:t>
      </w:r>
    </w:p>
    <w:p w14:paraId="1298DBEA">
      <w:pPr>
        <w:pStyle w:val="13"/>
        <w:shd w:val="clear" w:color="auto" w:fill="FFFFFF"/>
        <w:spacing w:line="463" w:lineRule="atLeas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医院现设院本部（顺城街院区）、长安院区、马道院区，总占地116.13亩，开放床位1600余张。2023年1月，新院区危急重症综合救治中心（省级区域医疗中心）正式开工建设，新院区总用地约300亩，建成后将达到2000张床位规模。医院职工人数3170余人，其中，博士、硕士研究生185人，高级职称328人，各级学术技术带头人及后备人选55人。医院拥有GE3.0T核磁共振、医科达直线加速器、飞利浦血管造影系统、西门子双源CT、迈柯唯体外膜肺、16人医用空气加压氧舱等先进的设备。</w:t>
      </w:r>
    </w:p>
    <w:p w14:paraId="2F192041">
      <w:pPr>
        <w:pStyle w:val="13"/>
        <w:shd w:val="clear" w:color="auto" w:fill="FFFFFF"/>
        <w:spacing w:line="463" w:lineRule="atLeas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医院现有37个临床科室，34个护理单元，10个医技科室。拥有儿科、心血管内科、肾病内科、胸心血管外科、神经外科、骨科、肝胆胰胃肠外科、医学影像、护理、妇产科、肿瘤科、泌尿外科等13个省级重点专科和27个州级重点专科。医院是第一批国家级住院医师规范化培训基地，目前拥有全科、内科、外科、妇产科、儿科、麻醉科、放射科、超声医学科等8个国家级住院医师规范化培训专业基地和1个省级护士规范化培训基地。2023年成为西南医科大学研究生联合培养基地。</w:t>
      </w:r>
    </w:p>
    <w:p w14:paraId="4EE327BE">
      <w:pPr>
        <w:pStyle w:val="13"/>
        <w:shd w:val="clear" w:color="auto" w:fill="FFFFFF"/>
        <w:spacing w:line="463" w:lineRule="atLeas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全院职工秉承“全心全意为各族群众健康服务”的宗旨，坚持“仁医仁术，同心同德”的院训，不断提高团队素质、医疗服务质量和教学科研学术水平，努力构建“医疗服务放心医院，民族团结模范医院”。</w:t>
      </w:r>
    </w:p>
    <w:p w14:paraId="7B67BC84">
      <w:pPr>
        <w:pStyle w:val="13"/>
        <w:shd w:val="clear" w:color="auto" w:fill="FFFFFF"/>
        <w:spacing w:line="463" w:lineRule="atLeas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2023年重点工作完成情况：</w:t>
      </w:r>
    </w:p>
    <w:p w14:paraId="7AB4D45E">
      <w:pPr>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eastAsia="zh-CN"/>
        </w:rPr>
        <w:t>（一）</w:t>
      </w:r>
      <w:r>
        <w:rPr>
          <w:rFonts w:hint="eastAsia" w:ascii="仿宋" w:hAnsi="仿宋" w:eastAsia="仿宋"/>
          <w:b w:val="0"/>
          <w:bCs w:val="0"/>
          <w:sz w:val="32"/>
          <w:szCs w:val="32"/>
        </w:rPr>
        <w:t>狠抓医疗核心指标，持续提质增效</w:t>
      </w:r>
    </w:p>
    <w:p w14:paraId="63D5FEEC">
      <w:pPr>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门诊：门诊诊疗总人次为 1108201 次，同比增长 12.08%。其中普通门诊为 410451 人次，急诊为 169781 人次，专家专科为527969 人次。预约挂号为 635924 人次，同比增长 16.47%。急诊急救：院前急救（7256 人次）同比增加 0.25%（18 人次），院前出车次数（7849 人次）同比减少 27.11%（2920 人次）；急诊入观人次（42612 人次）同比增长 19.49%（6949 人次）；儿科观察人次为 82445 人次，同比增长 50.31%（27594 人次）；中心 ICU 人次 1215 人次，同比减少 4.41%（56 人次）。血液透析人次为 39915 人次，同比增加 8.42%（3101 人次）。住院部分：出院 63139 人次，同比增长 13.09%；病床使用率为 102.74%，同比增长 14.79%；平均住院日为 8.96 天，同比降低 0.25 天。</w:t>
      </w:r>
    </w:p>
    <w:p w14:paraId="0D27C60E">
      <w:pPr>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手术部分：成手术 21267 例次，同比增长 17.25%。四级手术、微创手术、介入均有显著提高。四级手术 4310 台次，同比增长 20.50%；微创手术 4359 台，同比增长 34.61%。</w:t>
      </w:r>
    </w:p>
    <w:p w14:paraId="2E0A9A0F">
      <w:pPr>
        <w:spacing w:line="580" w:lineRule="exact"/>
        <w:ind w:firstLine="640" w:firstLineChars="200"/>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（二）强化业务内核动力，充分释放发展动能</w:t>
      </w:r>
    </w:p>
    <w:p w14:paraId="473CA881">
      <w:pPr>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eastAsia="zh-CN"/>
        </w:rPr>
        <w:t>开展新技术新业务，提高医院核心竞争力。有效开展新技术、新项目共计 39 项。部分新技术达省内、国内领先水平。</w:t>
      </w:r>
    </w:p>
    <w:p w14:paraId="54C9CD31">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持续推进医疗中心建设，提升危急重症综合救治能力。</w:t>
      </w:r>
    </w:p>
    <w:p w14:paraId="745344A2">
      <w:pPr>
        <w:pStyle w:val="2"/>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五大中心建设持续提质增效，救治能力持续攀升。胸痛中心全年完成 1858 例胸痛病人的诊治，同比增加 128例，增长率 7.06%。卒中中心收治患者 619 例，同比增加 384 例，增长率 163.4%，并成为第一批四川省急性脑梗死再灌注治疗医疗质量控制联盟单位。危重新生儿救治中心收治患儿中、早产儿占比大幅度增加为 41.41%，成功救治最小胎龄为 27.3 周，最小产重 910 克。危重孕产妇救治中心住院患者中危重孕产妇比重高达 69.68%，创伤中心共接诊创伤患者 3200 例，同比增加 400 余例，同比增长 14.28 %，收治入院的共 1600 余例，同比增加 700例，增长率 77.78 %。</w:t>
      </w:r>
    </w:p>
    <w:p w14:paraId="66BB270A">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紧抓医疗质量，严抓医疗安全。加强病历质控和病案首页管理；严格落实医疗质量安全核心制度；医疗质量安全不良事件管理；组织开展多学科协作诊疗全院大会诊 139 次，为患者申请远程会诊 4 人次，请院外专家会诊 90 人次，安排外院请我院专家会诊 52 人次。与四川大学华西医院/华西第二医院签网络联盟医院合作协议。</w:t>
      </w:r>
    </w:p>
    <w:p w14:paraId="4E85B69F">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提升区域医疗水平，坚持医院“公益性”。接收省医院和省肿瘤医院对口支援“传帮带”下派的 8 名专家，专业涵盖骨外科、心血管超声、临床病理、老年心血管、放疗、胸外科。积极落实对口支援。积极拓展医疗联合。积极实施公益行动。积极开展便民举措。做好质量控制工作。</w:t>
      </w:r>
    </w:p>
    <w:p w14:paraId="245BFF46">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（三）落实优质护理服务，强化护理学科建设</w:t>
      </w:r>
    </w:p>
    <w:p w14:paraId="586EE6D6">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执行三级护理管理体系，持续改进护理质量。深化优质护理服务内涵，强化责任制整体护理。发展护理队伍，加强业务学习。</w:t>
      </w:r>
    </w:p>
    <w:p w14:paraId="4B207069">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（四）加强教学科研建设，助推医院高质量发展</w:t>
      </w:r>
    </w:p>
    <w:p w14:paraId="5302D17E">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科研方面。全年申报省级科研课题 24 项、州级科研 41项。省级科研课题立项 6 项，州科技局课题立项 17 项，州人社局课题立项 6 项。与浙江大学附属儿童医院、四川大学华西医院等合作科研项目 9 项。13 项州科技局科研项目顺利结题，结题率 100%。医院荣获 2023 年度四川省医学科技奖（应用研究类）三等奖 1 项。荣获国家专利授权 32 项，包括发明专利 1 项。论文产出 116 篇，其中 SCI8 篇、中文核心期刊 10 篇、普通期刊84 篇、科普类文章 14 篇。专著出版 12 部，其中医院职工担任主编 1 部、副主编 11 部。5 篇论文荣获凉山州第十一届自然科学优秀学术论文奖励，其中一等奖 1 项、二等奖 2 项、三等奖 2项。外送 30 余名科研骨干参加临床研究培训，首次开展科学性审查工作，与牵头机构签订临床研究协议，临床研究规范化试点工作取得初步成效。</w:t>
      </w:r>
    </w:p>
    <w:p w14:paraId="6A7540E5">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专科建设方面。医院新增心血管内科为省级临床重点专科，骨外科、呼吸与危重症医学科等 11 个专科立项凉山州临床重点专科建设项目，骨科、耳鼻喉科等 11 个科室顺利通过州级重点专科动态验收评审，血液科、口腔科等 3 个专科立项州级重点专科。在各重点专科中，小儿外科为攀西地区唯一的独立的小儿外科专科，血液科为州内首家立项重点专科的血液专科，儿科开创了同时具备省级临床重点专科、省甲级医学重点专科及州级重点学科三个专科建设项目的历史，为州内独有、省内少有。医院对各级临床重点专业建设给予了全力支持，在设备采购、人才培养、技术引进等方面给予政策和资源的倾斜。其中，给予省级临床重点专科配套经费 300 万元，州级临床重点专科配套经费71 万—470 万元不等。</w:t>
      </w:r>
    </w:p>
    <w:p w14:paraId="3B870077">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（五）健全监管机制，建设平安医院</w:t>
      </w:r>
    </w:p>
    <w:p w14:paraId="4D2E68E0">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医疗安全方面。通过狠抓医疗核心制度落实、规范医疗行为以及改善医疗服务、提升工作人员责任心等系列措施，医疗质量安全得到了较好提高。</w:t>
      </w:r>
    </w:p>
    <w:p w14:paraId="6BDE34B7">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（六）推动互联网医院建设，提供就医新体验</w:t>
      </w:r>
    </w:p>
    <w:p w14:paraId="696AB90E">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智慧医院信息化建设上线医保 DIP 系统、后勤管理系统、血透管理系统、肋骨骨折智能辅助系统等。</w:t>
      </w:r>
    </w:p>
    <w:p w14:paraId="62B6DB9B">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完成医保电子凭证全流程应用、医保电子处方流转接口、四川药械集中采购平台三流合一接口项目。</w:t>
      </w:r>
    </w:p>
    <w:p w14:paraId="7E0DE40F">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成功通过四川省智慧医院三星和互联互通标准化成熟度四级甲等、国家电子病历四级评审测评。</w:t>
      </w:r>
    </w:p>
    <w:p w14:paraId="7FF03243">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开展“互联网+护理”服务，上线伤口造口护理、PICC管路维护、母婴护理、基础护理、脑卒中护理、儿童心理护理等9 个专业 50 个项的护理服务，全年接单 450 余次，为行动不便、慢性病以及母婴人群提供预约上门服务 1000 余人次，满意度达98%以上。</w:t>
      </w:r>
    </w:p>
    <w:p w14:paraId="20DF1F8A">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上线互联网医院“纳里医生”，患者可在线复诊、在线续方、报告解读、图文咨询、电话咨询，提供在线复诊 4730人次、接受在线咨询 4730 人次、开具在线处方 487 张、配送药品 119 次。</w:t>
      </w:r>
    </w:p>
    <w:p w14:paraId="5B84E352">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全面完成病案无纸化建设，以及医保结算资料无纸化归档管理，是凉山州第一家和唯一一家实行无纸化管理的医疗机构，开启州内智慧病案管理先河，病历脱纸率超过97%、病案归档成功率与病案完整率达到100%。医院“云病案”系统创新性实践获全省医务管理案例大赛“二等奖”。</w:t>
      </w:r>
    </w:p>
    <w:p w14:paraId="73266478">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（七）推进基础建设，改善患者就医环境</w:t>
      </w:r>
    </w:p>
    <w:p w14:paraId="0E6E954D">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新院区一期建设项目已完成勘查现场作业，施工用地打围、场平、临时用水用电建设以及施工图审查、工程量清单编制，招标前各项准备工作已完善。</w:t>
      </w:r>
    </w:p>
    <w:p w14:paraId="054DB1FB">
      <w:pPr>
        <w:pStyle w:val="2"/>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危急重症综合救治中心（省级区域医疗中心）项目于2023 年 1 月开工建设，各项工作推进顺利。目前已完成四层混凝土浇筑，五层底板正在进行木工支模钢筋绑扎及四个核心筒型钢安装焊接。地下室外墙防水、防水保护墙及车道顶板正在施工。项目于 12 月已完成主体结构封顶。</w:t>
      </w:r>
    </w:p>
    <w:p w14:paraId="56915592">
      <w:pPr>
        <w:pStyle w:val="4"/>
        <w:ind w:firstLine="320" w:firstLineChars="100"/>
        <w:rPr>
          <w:rFonts w:hint="eastAsia" w:ascii="黑体" w:hAnsi="黑体" w:eastAsia="黑体"/>
          <w:b w:val="0"/>
          <w:lang w:eastAsia="zh-CN"/>
        </w:rPr>
      </w:pPr>
      <w:bookmarkStart w:id="20" w:name="_Toc24053"/>
      <w:bookmarkStart w:id="21" w:name="_Toc26790"/>
      <w:bookmarkStart w:id="22" w:name="_Toc10870"/>
      <w:r>
        <w:rPr>
          <w:rFonts w:hint="eastAsia" w:ascii="黑体" w:hAnsi="黑体" w:eastAsia="黑体"/>
          <w:b w:val="0"/>
        </w:rPr>
        <w:t>二、</w:t>
      </w:r>
      <w:bookmarkEnd w:id="20"/>
      <w:r>
        <w:rPr>
          <w:rFonts w:hint="eastAsia" w:ascii="黑体" w:hAnsi="黑体" w:eastAsia="黑体"/>
          <w:b w:val="0"/>
          <w:lang w:eastAsia="zh-CN"/>
        </w:rPr>
        <w:t>机构设置</w:t>
      </w:r>
      <w:bookmarkEnd w:id="21"/>
      <w:bookmarkEnd w:id="22"/>
    </w:p>
    <w:p w14:paraId="19347B07">
      <w:pPr>
        <w:pStyle w:val="2"/>
        <w:adjustRightInd w:val="0"/>
        <w:snapToGrid w:val="0"/>
        <w:spacing w:before="93" w:line="600" w:lineRule="exact"/>
        <w:ind w:firstLine="672" w:firstLineChars="210"/>
        <w:rPr>
          <w:rFonts w:hint="eastAsia" w:ascii="仿宋" w:hAnsi="仿宋" w:eastAsia="仿宋" w:cs="Times New Roman"/>
          <w:sz w:val="32"/>
          <w:szCs w:val="32"/>
        </w:rPr>
      </w:pPr>
      <w:r>
        <w:rPr>
          <w:rFonts w:hint="eastAsia" w:ascii="仿宋" w:hAnsi="仿宋" w:eastAsia="仿宋" w:cs="Times New Roman"/>
          <w:sz w:val="32"/>
          <w:szCs w:val="32"/>
          <w:lang w:eastAsia="zh-CN"/>
        </w:rPr>
        <w:t>凉山州第一人民医院</w:t>
      </w:r>
      <w:r>
        <w:rPr>
          <w:rFonts w:hint="eastAsia" w:ascii="仿宋" w:hAnsi="仿宋" w:eastAsia="仿宋" w:cs="Times New Roman"/>
          <w:sz w:val="32"/>
          <w:szCs w:val="32"/>
        </w:rPr>
        <w:t>下属单位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个，其中行政单位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个，参照公务员法管理的事业单位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个，其他事业单位</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个。</w:t>
      </w:r>
    </w:p>
    <w:bookmarkEnd w:id="18"/>
    <w:bookmarkEnd w:id="19"/>
    <w:p w14:paraId="35C08CB6">
      <w:pPr>
        <w:widowControl/>
        <w:jc w:val="left"/>
        <w:rPr>
          <w:rFonts w:ascii="仿宋" w:hAnsi="仿宋" w:eastAsia="仿宋"/>
          <w:kern w:val="0"/>
          <w:sz w:val="32"/>
          <w:szCs w:val="32"/>
        </w:rPr>
      </w:pPr>
      <w:r>
        <w:rPr>
          <w:rFonts w:ascii="仿宋" w:hAnsi="仿宋" w:eastAsia="仿宋"/>
          <w:sz w:val="32"/>
          <w:szCs w:val="32"/>
        </w:rPr>
        <w:br w:type="page"/>
      </w:r>
    </w:p>
    <w:p w14:paraId="2414AF2E">
      <w:pPr>
        <w:pStyle w:val="3"/>
        <w:ind w:right="440"/>
        <w:jc w:val="center"/>
        <w:rPr>
          <w:rStyle w:val="28"/>
          <w:rFonts w:ascii="黑体" w:hAnsi="黑体" w:eastAsia="黑体"/>
          <w:b w:val="0"/>
          <w:bCs/>
        </w:rPr>
      </w:pPr>
      <w:bookmarkStart w:id="23" w:name="_Toc15377204"/>
      <w:bookmarkStart w:id="24" w:name="_Toc15396602"/>
      <w:bookmarkStart w:id="25" w:name="_Toc20871"/>
      <w:r>
        <w:rPr>
          <w:rFonts w:hint="eastAsia" w:ascii="黑体" w:hAnsi="黑体" w:eastAsia="黑体"/>
          <w:b w:val="0"/>
        </w:rPr>
        <w:t>第二部分 2023年度</w:t>
      </w:r>
      <w:r>
        <w:rPr>
          <w:rStyle w:val="28"/>
          <w:rFonts w:hint="eastAsia" w:ascii="黑体" w:hAnsi="黑体" w:eastAsia="黑体"/>
          <w:b w:val="0"/>
          <w:bCs/>
        </w:rPr>
        <w:t>单位决算情况说明</w:t>
      </w:r>
      <w:bookmarkEnd w:id="23"/>
      <w:bookmarkEnd w:id="24"/>
      <w:bookmarkEnd w:id="25"/>
    </w:p>
    <w:p w14:paraId="31245DC5"/>
    <w:p w14:paraId="39F76242">
      <w:pPr>
        <w:pStyle w:val="27"/>
        <w:numPr>
          <w:ilvl w:val="0"/>
          <w:numId w:val="2"/>
        </w:numPr>
        <w:spacing w:line="600" w:lineRule="exact"/>
        <w:ind w:firstLineChars="0"/>
        <w:outlineLvl w:val="1"/>
        <w:rPr>
          <w:rStyle w:val="29"/>
          <w:rFonts w:ascii="黑体" w:hAnsi="黑体" w:eastAsia="黑体"/>
          <w:b w:val="0"/>
        </w:rPr>
      </w:pPr>
      <w:bookmarkStart w:id="26" w:name="_Toc15396603"/>
      <w:bookmarkStart w:id="27" w:name="_Toc15377205"/>
      <w:bookmarkStart w:id="28" w:name="_Toc19878"/>
      <w:r>
        <w:rPr>
          <w:rFonts w:hint="eastAsia" w:ascii="黑体" w:hAnsi="黑体" w:eastAsia="黑体"/>
          <w:sz w:val="32"/>
          <w:szCs w:val="32"/>
        </w:rPr>
        <w:t>收</w:t>
      </w:r>
      <w:r>
        <w:rPr>
          <w:rStyle w:val="29"/>
          <w:rFonts w:hint="eastAsia" w:ascii="黑体" w:hAnsi="黑体" w:eastAsia="黑体"/>
          <w:b w:val="0"/>
        </w:rPr>
        <w:t>入支出决算总体情况说明</w:t>
      </w:r>
      <w:bookmarkEnd w:id="26"/>
      <w:bookmarkEnd w:id="27"/>
      <w:bookmarkEnd w:id="28"/>
    </w:p>
    <w:p w14:paraId="24875BB7">
      <w:pPr>
        <w:spacing w:line="600" w:lineRule="exact"/>
        <w:ind w:firstLine="640" w:firstLineChars="200"/>
        <w:rPr>
          <w:rFonts w:hint="eastAsia"/>
        </w:rPr>
      </w:pPr>
      <w:r>
        <w:rPr>
          <w:rFonts w:hint="eastAsia" w:ascii="仿宋" w:hAnsi="仿宋" w:eastAsia="仿宋"/>
          <w:sz w:val="32"/>
          <w:szCs w:val="32"/>
        </w:rPr>
        <w:t>2023年度收、支总计均为</w:t>
      </w:r>
      <w:r>
        <w:rPr>
          <w:rFonts w:hint="eastAsia" w:ascii="仿宋" w:hAnsi="仿宋" w:eastAsia="仿宋"/>
          <w:b/>
          <w:sz w:val="32"/>
          <w:szCs w:val="32"/>
        </w:rPr>
        <w:t>136156.89</w:t>
      </w:r>
      <w:r>
        <w:rPr>
          <w:rFonts w:hint="eastAsia" w:ascii="仿宋" w:hAnsi="仿宋" w:eastAsia="仿宋"/>
          <w:sz w:val="32"/>
          <w:szCs w:val="32"/>
        </w:rPr>
        <w:t>万元。与2022年度相比，收、支总计各增加</w:t>
      </w:r>
      <w:r>
        <w:rPr>
          <w:rFonts w:hint="eastAsia" w:ascii="仿宋" w:hAnsi="仿宋" w:eastAsia="仿宋"/>
          <w:b/>
          <w:sz w:val="32"/>
          <w:szCs w:val="32"/>
          <w:lang w:val="en-US" w:eastAsia="zh-CN"/>
        </w:rPr>
        <w:t>15909.67</w:t>
      </w:r>
      <w:r>
        <w:rPr>
          <w:rFonts w:hint="eastAsia" w:ascii="仿宋" w:hAnsi="仿宋" w:eastAsia="仿宋"/>
          <w:sz w:val="32"/>
          <w:szCs w:val="32"/>
        </w:rPr>
        <w:t>万元，增长</w:t>
      </w:r>
      <w:r>
        <w:rPr>
          <w:rFonts w:hint="eastAsia" w:ascii="仿宋" w:hAnsi="仿宋" w:eastAsia="仿宋"/>
          <w:b/>
          <w:sz w:val="32"/>
          <w:szCs w:val="32"/>
          <w:lang w:val="en-US" w:eastAsia="zh-CN"/>
        </w:rPr>
        <w:t>13.23</w:t>
      </w:r>
      <w:r>
        <w:rPr>
          <w:rFonts w:hint="eastAsia" w:ascii="仿宋" w:hAnsi="仿宋" w:eastAsia="仿宋"/>
          <w:b/>
          <w:sz w:val="32"/>
          <w:szCs w:val="32"/>
        </w:rPr>
        <w:t>%</w:t>
      </w:r>
      <w:r>
        <w:rPr>
          <w:rFonts w:hint="eastAsia" w:ascii="仿宋" w:hAnsi="仿宋" w:eastAsia="仿宋"/>
          <w:sz w:val="32"/>
          <w:szCs w:val="32"/>
        </w:rPr>
        <w:t>。主要变动原因是一般公共预算财政拨款</w:t>
      </w:r>
      <w:r>
        <w:rPr>
          <w:rFonts w:hint="eastAsia" w:ascii="仿宋" w:hAnsi="仿宋" w:eastAsia="仿宋"/>
          <w:sz w:val="32"/>
          <w:szCs w:val="32"/>
          <w:lang w:eastAsia="zh-CN"/>
        </w:rPr>
        <w:t>收支增加</w:t>
      </w:r>
      <w:r>
        <w:rPr>
          <w:rFonts w:hint="eastAsia" w:ascii="仿宋" w:hAnsi="仿宋" w:eastAsia="仿宋"/>
          <w:sz w:val="32"/>
          <w:szCs w:val="32"/>
        </w:rPr>
        <w:t>。</w:t>
      </w:r>
    </w:p>
    <w:p w14:paraId="4B7D4DE4">
      <w:pPr>
        <w:pStyle w:val="2"/>
        <w:jc w:val="center"/>
      </w:pPr>
      <w:r>
        <w:drawing>
          <wp:inline distT="0" distB="0" distL="114300" distR="114300">
            <wp:extent cx="4239895" cy="1998345"/>
            <wp:effectExtent l="5080" t="4445" r="22225" b="1651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D1A727F">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630B735D">
      <w:pPr>
        <w:spacing w:line="600" w:lineRule="exact"/>
        <w:ind w:firstLine="640" w:firstLineChars="200"/>
        <w:jc w:val="left"/>
        <w:rPr>
          <w:rFonts w:ascii="仿宋_GB2312" w:eastAsia="仿宋_GB2312"/>
          <w:sz w:val="32"/>
          <w:szCs w:val="32"/>
        </w:rPr>
      </w:pPr>
    </w:p>
    <w:p w14:paraId="0A7F26F5">
      <w:pPr>
        <w:pStyle w:val="27"/>
        <w:numPr>
          <w:ilvl w:val="0"/>
          <w:numId w:val="2"/>
        </w:numPr>
        <w:spacing w:line="600" w:lineRule="exact"/>
        <w:ind w:firstLineChars="0"/>
        <w:outlineLvl w:val="1"/>
        <w:rPr>
          <w:rStyle w:val="29"/>
          <w:rFonts w:ascii="黑体" w:hAnsi="黑体" w:eastAsia="黑体"/>
          <w:b w:val="0"/>
        </w:rPr>
      </w:pPr>
      <w:bookmarkStart w:id="29" w:name="_Toc15377206"/>
      <w:bookmarkStart w:id="30" w:name="_Toc15396604"/>
      <w:bookmarkStart w:id="31" w:name="_Toc2228"/>
      <w:r>
        <w:rPr>
          <w:rFonts w:hint="eastAsia" w:ascii="黑体" w:hAnsi="黑体" w:eastAsia="黑体"/>
          <w:sz w:val="32"/>
          <w:szCs w:val="32"/>
        </w:rPr>
        <w:t>收</w:t>
      </w:r>
      <w:r>
        <w:rPr>
          <w:rStyle w:val="29"/>
          <w:rFonts w:hint="eastAsia" w:ascii="黑体" w:hAnsi="黑体" w:eastAsia="黑体"/>
          <w:b w:val="0"/>
        </w:rPr>
        <w:t>入决算情况说明</w:t>
      </w:r>
      <w:bookmarkEnd w:id="29"/>
      <w:bookmarkEnd w:id="30"/>
      <w:bookmarkEnd w:id="31"/>
    </w:p>
    <w:p w14:paraId="729ACD29">
      <w:pPr>
        <w:spacing w:line="600" w:lineRule="exact"/>
        <w:ind w:firstLine="640" w:firstLineChars="200"/>
        <w:outlineLvl w:val="1"/>
        <w:rPr>
          <w:rFonts w:ascii="仿宋" w:hAnsi="仿宋" w:eastAsia="仿宋"/>
          <w:sz w:val="32"/>
          <w:szCs w:val="32"/>
        </w:rPr>
      </w:pPr>
      <w:bookmarkStart w:id="32" w:name="_Toc3638"/>
      <w:r>
        <w:rPr>
          <w:rFonts w:hint="eastAsia" w:ascii="仿宋" w:hAnsi="仿宋" w:eastAsia="仿宋"/>
          <w:sz w:val="32"/>
          <w:szCs w:val="32"/>
        </w:rPr>
        <w:t>2023年度本年收入合计</w:t>
      </w:r>
      <w:r>
        <w:rPr>
          <w:rFonts w:ascii="仿宋" w:hAnsi="仿宋" w:eastAsia="仿宋"/>
          <w:b/>
          <w:sz w:val="32"/>
          <w:szCs w:val="32"/>
        </w:rPr>
        <w:t>130597.72</w:t>
      </w:r>
      <w:r>
        <w:rPr>
          <w:rFonts w:hint="eastAsia" w:ascii="仿宋" w:hAnsi="仿宋" w:eastAsia="仿宋"/>
          <w:sz w:val="32"/>
          <w:szCs w:val="32"/>
        </w:rPr>
        <w:t>万元，其中：一般公共预算财政拨款收入</w:t>
      </w:r>
      <w:r>
        <w:rPr>
          <w:rFonts w:ascii="仿宋" w:hAnsi="仿宋" w:eastAsia="仿宋"/>
          <w:b/>
          <w:sz w:val="32"/>
          <w:szCs w:val="32"/>
        </w:rPr>
        <w:t>25298.86</w:t>
      </w:r>
      <w:r>
        <w:rPr>
          <w:rFonts w:hint="eastAsia" w:ascii="仿宋" w:hAnsi="仿宋" w:eastAsia="仿宋"/>
          <w:sz w:val="32"/>
          <w:szCs w:val="32"/>
        </w:rPr>
        <w:t>万元，占</w:t>
      </w:r>
      <w:r>
        <w:rPr>
          <w:rFonts w:ascii="仿宋" w:hAnsi="仿宋" w:eastAsia="仿宋"/>
          <w:b/>
          <w:sz w:val="32"/>
          <w:szCs w:val="32"/>
        </w:rPr>
        <w:t>19.37%</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104045.08</w:t>
      </w:r>
      <w:r>
        <w:rPr>
          <w:rFonts w:hint="eastAsia" w:ascii="仿宋" w:hAnsi="仿宋" w:eastAsia="仿宋"/>
          <w:sz w:val="32"/>
          <w:szCs w:val="32"/>
        </w:rPr>
        <w:t>万元，占</w:t>
      </w:r>
      <w:r>
        <w:rPr>
          <w:rFonts w:ascii="仿宋" w:hAnsi="仿宋" w:eastAsia="仿宋"/>
          <w:b/>
          <w:sz w:val="32"/>
          <w:szCs w:val="32"/>
        </w:rPr>
        <w:t>79.66</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1253.78</w:t>
      </w:r>
      <w:r>
        <w:rPr>
          <w:rFonts w:hint="eastAsia" w:ascii="仿宋" w:hAnsi="仿宋" w:eastAsia="仿宋"/>
          <w:sz w:val="32"/>
          <w:szCs w:val="32"/>
        </w:rPr>
        <w:t>万元，占</w:t>
      </w:r>
      <w:r>
        <w:rPr>
          <w:rFonts w:ascii="仿宋" w:hAnsi="仿宋" w:eastAsia="仿宋"/>
          <w:b/>
          <w:sz w:val="32"/>
          <w:szCs w:val="32"/>
        </w:rPr>
        <w:t>0.96</w:t>
      </w:r>
      <w:r>
        <w:rPr>
          <w:rFonts w:ascii="仿宋" w:hAnsi="仿宋" w:eastAsia="仿宋"/>
          <w:sz w:val="32"/>
          <w:szCs w:val="32"/>
        </w:rPr>
        <w:t>%</w:t>
      </w:r>
      <w:bookmarkEnd w:id="32"/>
    </w:p>
    <w:p w14:paraId="730709A4">
      <w:pPr>
        <w:spacing w:line="600" w:lineRule="exact"/>
        <w:ind w:firstLine="643" w:firstLineChars="200"/>
        <w:outlineLvl w:val="1"/>
        <w:rPr>
          <w:rFonts w:ascii="仿宋" w:hAnsi="仿宋" w:eastAsia="仿宋"/>
          <w:sz w:val="32"/>
          <w:szCs w:val="32"/>
        </w:rPr>
      </w:pPr>
      <w:bookmarkStart w:id="33" w:name="_Toc19169"/>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bookmarkEnd w:id="33"/>
    </w:p>
    <w:p w14:paraId="0644799F">
      <w:pPr>
        <w:pStyle w:val="2"/>
        <w:jc w:val="center"/>
      </w:pPr>
      <w:r>
        <w:drawing>
          <wp:inline distT="0" distB="0" distL="114300" distR="114300">
            <wp:extent cx="4208145" cy="1895475"/>
            <wp:effectExtent l="4445" t="4445" r="1651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7FA09D">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14:paraId="71A74D3D">
      <w:pPr>
        <w:spacing w:line="600" w:lineRule="exact"/>
        <w:ind w:firstLine="640" w:firstLineChars="200"/>
        <w:rPr>
          <w:rFonts w:ascii="仿宋_GB2312" w:eastAsia="仿宋_GB2312"/>
          <w:sz w:val="32"/>
          <w:szCs w:val="32"/>
        </w:rPr>
      </w:pPr>
    </w:p>
    <w:p w14:paraId="1870C08C">
      <w:pPr>
        <w:pStyle w:val="27"/>
        <w:numPr>
          <w:ilvl w:val="0"/>
          <w:numId w:val="2"/>
        </w:numPr>
        <w:spacing w:line="600" w:lineRule="exact"/>
        <w:ind w:firstLineChars="0"/>
        <w:outlineLvl w:val="1"/>
        <w:rPr>
          <w:rStyle w:val="29"/>
          <w:rFonts w:ascii="黑体" w:hAnsi="黑体" w:eastAsia="黑体"/>
          <w:b w:val="0"/>
        </w:rPr>
      </w:pPr>
      <w:bookmarkStart w:id="34" w:name="_Toc15377207"/>
      <w:bookmarkStart w:id="35" w:name="_Toc6589"/>
      <w:bookmarkStart w:id="36" w:name="_Toc15396605"/>
      <w:r>
        <w:rPr>
          <w:rFonts w:hint="eastAsia" w:ascii="黑体" w:hAnsi="黑体" w:eastAsia="黑体"/>
          <w:sz w:val="32"/>
          <w:szCs w:val="32"/>
        </w:rPr>
        <w:t>支</w:t>
      </w:r>
      <w:r>
        <w:rPr>
          <w:rStyle w:val="29"/>
          <w:rFonts w:hint="eastAsia" w:ascii="黑体" w:hAnsi="黑体" w:eastAsia="黑体"/>
          <w:b w:val="0"/>
        </w:rPr>
        <w:t>出决算情况说明</w:t>
      </w:r>
      <w:bookmarkEnd w:id="34"/>
      <w:bookmarkEnd w:id="35"/>
      <w:bookmarkEnd w:id="36"/>
    </w:p>
    <w:p w14:paraId="4D4A9DD1">
      <w:pPr>
        <w:spacing w:line="600" w:lineRule="exact"/>
        <w:ind w:firstLine="640" w:firstLineChars="200"/>
        <w:outlineLvl w:val="1"/>
        <w:rPr>
          <w:rFonts w:ascii="仿宋" w:hAnsi="仿宋" w:eastAsia="仿宋"/>
          <w:sz w:val="32"/>
          <w:szCs w:val="32"/>
        </w:rPr>
      </w:pPr>
      <w:bookmarkStart w:id="37" w:name="_Toc6463"/>
      <w:r>
        <w:rPr>
          <w:rFonts w:hint="eastAsia" w:ascii="仿宋" w:hAnsi="仿宋" w:eastAsia="仿宋"/>
          <w:sz w:val="32"/>
          <w:szCs w:val="32"/>
        </w:rPr>
        <w:t>2023年度本年支出合计</w:t>
      </w:r>
      <w:r>
        <w:rPr>
          <w:rFonts w:ascii="仿宋" w:hAnsi="仿宋" w:eastAsia="仿宋"/>
          <w:b/>
          <w:sz w:val="32"/>
          <w:szCs w:val="32"/>
        </w:rPr>
        <w:t>136156.89</w:t>
      </w:r>
      <w:r>
        <w:rPr>
          <w:rFonts w:hint="eastAsia" w:ascii="仿宋" w:hAnsi="仿宋" w:eastAsia="仿宋"/>
          <w:sz w:val="32"/>
          <w:szCs w:val="32"/>
        </w:rPr>
        <w:t>万元，其中：基本支出</w:t>
      </w:r>
      <w:r>
        <w:rPr>
          <w:rFonts w:ascii="仿宋" w:hAnsi="仿宋" w:eastAsia="仿宋"/>
          <w:b/>
          <w:sz w:val="32"/>
          <w:szCs w:val="32"/>
        </w:rPr>
        <w:t>112887.27</w:t>
      </w:r>
      <w:r>
        <w:rPr>
          <w:rFonts w:hint="eastAsia" w:ascii="仿宋" w:hAnsi="仿宋" w:eastAsia="仿宋"/>
          <w:sz w:val="32"/>
          <w:szCs w:val="32"/>
        </w:rPr>
        <w:t>万元，占</w:t>
      </w:r>
      <w:r>
        <w:rPr>
          <w:rFonts w:ascii="仿宋" w:hAnsi="仿宋" w:eastAsia="仿宋"/>
          <w:b/>
          <w:sz w:val="32"/>
          <w:szCs w:val="32"/>
        </w:rPr>
        <w:t>82.9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23269.62</w:t>
      </w:r>
      <w:r>
        <w:rPr>
          <w:rFonts w:hint="eastAsia" w:ascii="仿宋" w:hAnsi="仿宋" w:eastAsia="仿宋"/>
          <w:sz w:val="32"/>
          <w:szCs w:val="32"/>
        </w:rPr>
        <w:t>万元，占</w:t>
      </w:r>
      <w:r>
        <w:rPr>
          <w:rFonts w:ascii="仿宋" w:hAnsi="仿宋" w:eastAsia="仿宋"/>
          <w:b/>
          <w:sz w:val="32"/>
          <w:szCs w:val="32"/>
        </w:rPr>
        <w:t>17.09</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37"/>
    </w:p>
    <w:p w14:paraId="6429C228">
      <w:pPr>
        <w:spacing w:line="600" w:lineRule="exact"/>
        <w:ind w:firstLine="643" w:firstLineChars="200"/>
        <w:outlineLvl w:val="1"/>
        <w:rPr>
          <w:rFonts w:ascii="仿宋" w:hAnsi="仿宋" w:eastAsia="仿宋"/>
          <w:sz w:val="32"/>
          <w:szCs w:val="32"/>
          <w:shd w:val="pct10" w:color="auto" w:fill="FFFFFF"/>
        </w:rPr>
      </w:pPr>
      <w:bookmarkStart w:id="38" w:name="_Toc9839"/>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bookmarkEnd w:id="38"/>
    </w:p>
    <w:p w14:paraId="5410C7EA">
      <w:pPr>
        <w:pStyle w:val="2"/>
        <w:jc w:val="center"/>
        <w:rPr>
          <w:rFonts w:ascii="仿宋" w:hAnsi="仿宋" w:eastAsia="仿宋"/>
          <w:sz w:val="32"/>
          <w:szCs w:val="32"/>
          <w:shd w:val="pct10" w:color="auto" w:fill="FFFFFF"/>
        </w:rPr>
      </w:pPr>
      <w:r>
        <w:drawing>
          <wp:inline distT="0" distB="0" distL="114300" distR="114300">
            <wp:extent cx="4327525" cy="2083435"/>
            <wp:effectExtent l="4445" t="4445" r="11430" b="762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BBFA3E">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14:paraId="0E57FF89">
      <w:pPr>
        <w:spacing w:line="600" w:lineRule="exact"/>
        <w:ind w:firstLine="640" w:firstLineChars="200"/>
        <w:rPr>
          <w:rFonts w:ascii="仿宋_GB2312" w:eastAsia="仿宋_GB2312"/>
          <w:sz w:val="32"/>
          <w:szCs w:val="32"/>
        </w:rPr>
      </w:pPr>
    </w:p>
    <w:p w14:paraId="1B33A78B">
      <w:pPr>
        <w:spacing w:line="600" w:lineRule="exact"/>
        <w:ind w:firstLine="640" w:firstLineChars="200"/>
        <w:outlineLvl w:val="1"/>
        <w:rPr>
          <w:rStyle w:val="29"/>
          <w:rFonts w:ascii="黑体" w:hAnsi="黑体" w:eastAsia="黑体"/>
          <w:b w:val="0"/>
        </w:rPr>
      </w:pPr>
      <w:bookmarkStart w:id="39" w:name="_Toc15396606"/>
      <w:bookmarkStart w:id="40" w:name="_Toc11243"/>
      <w:bookmarkStart w:id="41"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9"/>
      <w:bookmarkEnd w:id="40"/>
      <w:bookmarkEnd w:id="41"/>
    </w:p>
    <w:p w14:paraId="21231E16">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25298.86</w:t>
      </w:r>
      <w:r>
        <w:rPr>
          <w:rFonts w:hint="eastAsia" w:ascii="仿宋" w:hAnsi="仿宋" w:eastAsia="仿宋"/>
          <w:sz w:val="32"/>
          <w:szCs w:val="32"/>
        </w:rPr>
        <w:t>万元。与2022年度相比，财政拨款收、支总计各增加</w:t>
      </w:r>
      <w:r>
        <w:rPr>
          <w:rFonts w:hint="eastAsia" w:ascii="仿宋" w:hAnsi="仿宋" w:eastAsia="仿宋"/>
          <w:b/>
          <w:sz w:val="32"/>
          <w:szCs w:val="32"/>
          <w:lang w:val="en-US" w:eastAsia="zh-CN"/>
        </w:rPr>
        <w:t>15573.34</w:t>
      </w:r>
      <w:r>
        <w:rPr>
          <w:rFonts w:hint="eastAsia" w:ascii="仿宋" w:hAnsi="仿宋" w:eastAsia="仿宋"/>
          <w:sz w:val="32"/>
          <w:szCs w:val="32"/>
        </w:rPr>
        <w:t>万元，增长</w:t>
      </w:r>
      <w:r>
        <w:rPr>
          <w:rFonts w:hint="eastAsia" w:ascii="仿宋" w:hAnsi="仿宋" w:eastAsia="仿宋"/>
          <w:b/>
          <w:sz w:val="32"/>
          <w:szCs w:val="32"/>
          <w:lang w:val="en-US" w:eastAsia="zh-CN"/>
        </w:rPr>
        <w:t>160.13</w:t>
      </w:r>
      <w:r>
        <w:rPr>
          <w:rFonts w:hint="eastAsia" w:ascii="仿宋" w:hAnsi="仿宋" w:eastAsia="仿宋"/>
          <w:b/>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增加2023年优质高效医疗卫生服务体系建设工程（第二批）中央基建投资预算收支。</w:t>
      </w:r>
    </w:p>
    <w:p w14:paraId="420C4CC4">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0D09CD9A">
      <w:pPr>
        <w:pStyle w:val="2"/>
        <w:jc w:val="center"/>
      </w:pPr>
      <w:r>
        <w:drawing>
          <wp:inline distT="0" distB="0" distL="114300" distR="114300">
            <wp:extent cx="4454525" cy="2466340"/>
            <wp:effectExtent l="4445" t="4445" r="17780" b="571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E0B277">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14:paraId="1BB991DE">
      <w:pPr>
        <w:spacing w:line="600" w:lineRule="exact"/>
        <w:ind w:firstLine="640"/>
        <w:rPr>
          <w:rFonts w:ascii="仿宋" w:hAnsi="仿宋" w:eastAsia="仿宋"/>
          <w:b/>
          <w:sz w:val="32"/>
          <w:szCs w:val="32"/>
        </w:rPr>
      </w:pPr>
    </w:p>
    <w:p w14:paraId="2258CA43">
      <w:pPr>
        <w:spacing w:line="600" w:lineRule="exact"/>
        <w:ind w:firstLine="640" w:firstLineChars="200"/>
        <w:outlineLvl w:val="1"/>
        <w:rPr>
          <w:rStyle w:val="29"/>
          <w:rFonts w:ascii="黑体" w:hAnsi="黑体" w:eastAsia="黑体"/>
          <w:b w:val="0"/>
        </w:rPr>
      </w:pPr>
      <w:bookmarkStart w:id="42" w:name="_Toc15377209"/>
      <w:bookmarkStart w:id="43" w:name="_Toc25535"/>
      <w:bookmarkStart w:id="44"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42"/>
      <w:bookmarkEnd w:id="43"/>
      <w:bookmarkEnd w:id="44"/>
    </w:p>
    <w:p w14:paraId="49B91129">
      <w:pPr>
        <w:spacing w:line="600" w:lineRule="exact"/>
        <w:ind w:firstLine="643" w:firstLineChars="200"/>
        <w:outlineLvl w:val="2"/>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14:paraId="6782072B">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25298.86</w:t>
      </w:r>
      <w:r>
        <w:rPr>
          <w:rFonts w:hint="eastAsia" w:ascii="仿宋" w:hAnsi="仿宋" w:eastAsia="仿宋"/>
          <w:sz w:val="32"/>
          <w:szCs w:val="32"/>
        </w:rPr>
        <w:t>万元，占本年支出合计的</w:t>
      </w:r>
      <w:r>
        <w:rPr>
          <w:rFonts w:ascii="仿宋" w:hAnsi="仿宋" w:eastAsia="仿宋"/>
          <w:b/>
          <w:sz w:val="32"/>
          <w:szCs w:val="32"/>
        </w:rPr>
        <w:t>18.58</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b/>
          <w:sz w:val="32"/>
          <w:szCs w:val="32"/>
          <w:lang w:val="en-US" w:eastAsia="zh-CN"/>
        </w:rPr>
        <w:t>15573.34</w:t>
      </w:r>
      <w:r>
        <w:rPr>
          <w:rFonts w:hint="eastAsia" w:ascii="仿宋" w:hAnsi="仿宋" w:eastAsia="仿宋"/>
          <w:sz w:val="32"/>
          <w:szCs w:val="32"/>
        </w:rPr>
        <w:t>万元，增长</w:t>
      </w:r>
      <w:r>
        <w:rPr>
          <w:rFonts w:hint="eastAsia" w:ascii="仿宋" w:hAnsi="仿宋" w:eastAsia="仿宋"/>
          <w:b/>
          <w:sz w:val="32"/>
          <w:szCs w:val="32"/>
          <w:lang w:val="en-US" w:eastAsia="zh-CN"/>
        </w:rPr>
        <w:t>160.13</w:t>
      </w:r>
      <w:r>
        <w:rPr>
          <w:rFonts w:hint="eastAsia" w:ascii="仿宋" w:hAnsi="仿宋" w:eastAsia="仿宋"/>
          <w:b/>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w:t>
      </w:r>
      <w:r>
        <w:rPr>
          <w:rFonts w:hint="eastAsia" w:ascii="仿宋" w:hAnsi="仿宋" w:eastAsia="仿宋"/>
          <w:sz w:val="32"/>
          <w:szCs w:val="32"/>
          <w:lang w:eastAsia="zh-CN"/>
        </w:rPr>
        <w:t>增加了优质高效医疗卫生服务体系建设工程（第二批）中央基建投资预算支出。</w:t>
      </w:r>
    </w:p>
    <w:p w14:paraId="6B3B918C">
      <w:pPr>
        <w:spacing w:line="600" w:lineRule="exact"/>
        <w:ind w:firstLine="640" w:firstLineChars="200"/>
        <w:rPr>
          <w:rFonts w:ascii="仿宋" w:hAnsi="仿宋" w:eastAsia="仿宋"/>
          <w:sz w:val="32"/>
          <w:szCs w:val="32"/>
        </w:rPr>
      </w:pPr>
    </w:p>
    <w:p w14:paraId="69555C6A">
      <w:pPr>
        <w:pStyle w:val="2"/>
        <w:jc w:val="center"/>
        <w:rPr>
          <w:rFonts w:hint="eastAsia" w:ascii="仿宋" w:hAnsi="仿宋" w:eastAsia="仿宋"/>
          <w:sz w:val="32"/>
          <w:szCs w:val="32"/>
        </w:rPr>
      </w:pPr>
      <w:r>
        <w:drawing>
          <wp:inline distT="0" distB="0" distL="114300" distR="114300">
            <wp:extent cx="4225925" cy="2155825"/>
            <wp:effectExtent l="4445" t="4445" r="17780" b="1143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7A0C75">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（图5：一般公共预算财政拨款支出决算变动情况）</w:t>
      </w:r>
    </w:p>
    <w:p w14:paraId="3FBC3DCF">
      <w:pPr>
        <w:spacing w:line="600" w:lineRule="exact"/>
        <w:ind w:firstLine="640" w:firstLineChars="200"/>
        <w:rPr>
          <w:rFonts w:ascii="仿宋" w:hAnsi="仿宋" w:eastAsia="仿宋"/>
          <w:sz w:val="32"/>
          <w:szCs w:val="32"/>
        </w:rPr>
      </w:pPr>
    </w:p>
    <w:p w14:paraId="52F74956">
      <w:pPr>
        <w:spacing w:line="600" w:lineRule="exact"/>
        <w:ind w:firstLine="643" w:firstLineChars="200"/>
        <w:outlineLvl w:val="2"/>
        <w:rPr>
          <w:rFonts w:ascii="仿宋" w:hAnsi="仿宋" w:eastAsia="仿宋"/>
          <w:b/>
          <w:sz w:val="32"/>
          <w:szCs w:val="32"/>
        </w:rPr>
      </w:pPr>
      <w:bookmarkStart w:id="46" w:name="_Toc15377211"/>
      <w:r>
        <w:rPr>
          <w:rFonts w:hint="eastAsia" w:ascii="仿宋" w:hAnsi="仿宋" w:eastAsia="仿宋"/>
          <w:b/>
          <w:sz w:val="32"/>
          <w:szCs w:val="32"/>
        </w:rPr>
        <w:t>（二）一般公共预算财政拨款支出决算结构情况</w:t>
      </w:r>
      <w:bookmarkEnd w:id="46"/>
    </w:p>
    <w:p w14:paraId="5749A067">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25298.86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b/>
          <w:sz w:val="32"/>
          <w:szCs w:val="32"/>
          <w:lang w:val="en-US" w:eastAsia="zh-CN"/>
        </w:rPr>
        <w:t>0</w:t>
      </w:r>
      <w:r>
        <w:rPr>
          <w:rFonts w:hint="eastAsia" w:ascii="仿宋" w:hAnsi="仿宋" w:eastAsia="仿宋"/>
          <w:b/>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b/>
          <w:sz w:val="32"/>
          <w:szCs w:val="32"/>
          <w:lang w:val="en-US" w:eastAsia="zh-CN"/>
        </w:rPr>
        <w:t>2.7</w:t>
      </w:r>
      <w:r>
        <w:rPr>
          <w:rFonts w:hint="eastAsia" w:ascii="仿宋" w:hAnsi="仿宋" w:eastAsia="仿宋"/>
          <w:sz w:val="32"/>
          <w:szCs w:val="32"/>
        </w:rPr>
        <w:t>万元，占</w:t>
      </w:r>
      <w:r>
        <w:rPr>
          <w:rFonts w:hint="eastAsia" w:ascii="仿宋" w:hAnsi="仿宋" w:eastAsia="仿宋"/>
          <w:b/>
          <w:sz w:val="32"/>
          <w:szCs w:val="32"/>
          <w:lang w:val="en-US" w:eastAsia="zh-CN"/>
        </w:rPr>
        <w:t>0.01</w:t>
      </w:r>
      <w:r>
        <w:rPr>
          <w:rFonts w:hint="eastAsia" w:ascii="仿宋" w:hAnsi="仿宋" w:eastAsia="仿宋"/>
          <w:b/>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sz w:val="32"/>
          <w:szCs w:val="32"/>
          <w:lang w:val="en-US" w:eastAsia="zh-CN"/>
        </w:rPr>
        <w:t>2843.85</w:t>
      </w:r>
      <w:r>
        <w:rPr>
          <w:rFonts w:hint="eastAsia" w:ascii="仿宋" w:hAnsi="仿宋" w:eastAsia="仿宋"/>
          <w:sz w:val="32"/>
          <w:szCs w:val="32"/>
        </w:rPr>
        <w:t>万元，占</w:t>
      </w:r>
      <w:r>
        <w:rPr>
          <w:rFonts w:hint="eastAsia" w:ascii="仿宋" w:hAnsi="仿宋" w:eastAsia="仿宋"/>
          <w:b/>
          <w:sz w:val="32"/>
          <w:szCs w:val="32"/>
          <w:lang w:val="en-US" w:eastAsia="zh-CN"/>
        </w:rPr>
        <w:t>11.24</w:t>
      </w:r>
      <w:r>
        <w:rPr>
          <w:rFonts w:hint="eastAsia" w:ascii="仿宋" w:hAnsi="仿宋" w:eastAsia="仿宋"/>
          <w:b/>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sz w:val="32"/>
          <w:szCs w:val="32"/>
          <w:lang w:val="en-US" w:eastAsia="zh-CN"/>
        </w:rPr>
        <w:t>22452.31</w:t>
      </w:r>
      <w:r>
        <w:rPr>
          <w:rFonts w:hint="eastAsia" w:ascii="仿宋" w:hAnsi="仿宋" w:eastAsia="仿宋"/>
          <w:sz w:val="32"/>
          <w:szCs w:val="32"/>
        </w:rPr>
        <w:t>万元，占</w:t>
      </w:r>
      <w:r>
        <w:rPr>
          <w:rFonts w:hint="eastAsia" w:ascii="仿宋" w:hAnsi="仿宋" w:eastAsia="仿宋"/>
          <w:b/>
          <w:sz w:val="32"/>
          <w:szCs w:val="32"/>
          <w:lang w:val="en-US" w:eastAsia="zh-CN"/>
        </w:rPr>
        <w:t>88.75</w:t>
      </w:r>
      <w:r>
        <w:rPr>
          <w:rFonts w:hint="eastAsia" w:ascii="仿宋" w:hAnsi="仿宋" w:eastAsia="仿宋"/>
          <w:b/>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hint="eastAsia" w:ascii="仿宋" w:hAnsi="仿宋" w:eastAsia="仿宋"/>
          <w:b/>
          <w:sz w:val="32"/>
          <w:szCs w:val="32"/>
          <w:lang w:val="en-US" w:eastAsia="zh-CN"/>
        </w:rPr>
        <w:t>0</w:t>
      </w:r>
      <w:r>
        <w:rPr>
          <w:rFonts w:hint="eastAsia" w:ascii="仿宋" w:hAnsi="仿宋" w:eastAsia="仿宋"/>
          <w:b/>
          <w:sz w:val="32"/>
          <w:szCs w:val="32"/>
        </w:rPr>
        <w:t>%</w:t>
      </w:r>
      <w:r>
        <w:rPr>
          <w:rFonts w:hint="eastAsia" w:ascii="仿宋" w:hAnsi="仿宋" w:eastAsia="仿宋"/>
          <w:sz w:val="32"/>
          <w:szCs w:val="32"/>
        </w:rPr>
        <w:t>。</w:t>
      </w:r>
    </w:p>
    <w:p w14:paraId="37B298D4">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14:paraId="5A94B98A">
      <w:pPr>
        <w:pStyle w:val="2"/>
        <w:jc w:val="center"/>
      </w:pPr>
      <w:r>
        <w:drawing>
          <wp:inline distT="0" distB="0" distL="114300" distR="114300">
            <wp:extent cx="4404360" cy="2153920"/>
            <wp:effectExtent l="4445" t="5080" r="10795" b="1270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FF6EC0">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5DCD94A3">
      <w:pPr>
        <w:spacing w:line="600" w:lineRule="exact"/>
        <w:ind w:firstLine="640" w:firstLineChars="200"/>
        <w:rPr>
          <w:rFonts w:ascii="仿宋" w:hAnsi="仿宋" w:eastAsia="仿宋"/>
          <w:sz w:val="32"/>
          <w:szCs w:val="32"/>
        </w:rPr>
      </w:pPr>
    </w:p>
    <w:p w14:paraId="742F2F6A">
      <w:pPr>
        <w:spacing w:line="600" w:lineRule="exact"/>
        <w:ind w:firstLine="643" w:firstLineChars="200"/>
        <w:outlineLvl w:val="2"/>
        <w:rPr>
          <w:rFonts w:ascii="仿宋" w:hAnsi="仿宋" w:eastAsia="仿宋"/>
          <w:b/>
          <w:sz w:val="32"/>
          <w:szCs w:val="32"/>
        </w:rPr>
      </w:pPr>
      <w:bookmarkStart w:id="47" w:name="_Toc15377212"/>
      <w:r>
        <w:rPr>
          <w:rFonts w:hint="eastAsia" w:ascii="仿宋" w:hAnsi="仿宋" w:eastAsia="仿宋"/>
          <w:b/>
          <w:sz w:val="32"/>
          <w:szCs w:val="32"/>
        </w:rPr>
        <w:t>（三）一般公共预算财政拨款支出决算具体情况</w:t>
      </w:r>
      <w:bookmarkEnd w:id="47"/>
    </w:p>
    <w:p w14:paraId="4179B78C">
      <w:pPr>
        <w:spacing w:line="600" w:lineRule="exact"/>
        <w:ind w:firstLine="643" w:firstLineChars="200"/>
        <w:outlineLvl w:val="1"/>
        <w:rPr>
          <w:rFonts w:ascii="仿宋" w:hAnsi="仿宋" w:eastAsia="仿宋"/>
          <w:sz w:val="32"/>
          <w:szCs w:val="32"/>
        </w:rPr>
      </w:pPr>
      <w:bookmarkStart w:id="48" w:name="_Toc15377444"/>
      <w:bookmarkStart w:id="49" w:name="_Toc15377213"/>
      <w:bookmarkStart w:id="50" w:name="_Toc13593"/>
      <w:bookmarkStart w:id="51" w:name="_Toc15378460"/>
      <w:r>
        <w:rPr>
          <w:rFonts w:hint="eastAsia" w:ascii="仿宋" w:hAnsi="仿宋" w:eastAsia="仿宋"/>
          <w:b/>
          <w:sz w:val="32"/>
          <w:szCs w:val="32"/>
        </w:rPr>
        <w:t>2023年度一般公共预算支出决算数为</w:t>
      </w:r>
      <w:r>
        <w:rPr>
          <w:rFonts w:ascii="仿宋" w:hAnsi="仿宋" w:eastAsia="仿宋"/>
          <w:b/>
          <w:sz w:val="32"/>
          <w:szCs w:val="32"/>
        </w:rPr>
        <w:t>25298.86</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8"/>
      <w:bookmarkEnd w:id="49"/>
      <w:bookmarkEnd w:id="50"/>
      <w:bookmarkEnd w:id="51"/>
    </w:p>
    <w:p w14:paraId="4652B233">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cstheme="minorBidi"/>
          <w:bCs/>
          <w:kern w:val="2"/>
          <w:sz w:val="32"/>
          <w:szCs w:val="32"/>
          <w:lang w:val="en-US" w:eastAsia="zh-CN" w:bidi="ar-SA"/>
        </w:rPr>
        <w:t>科学技术支出（类）技术研究与开发（款）其他技术研究与开发支出（项）</w:t>
      </w:r>
      <w:r>
        <w:rPr>
          <w:rStyle w:val="17"/>
          <w:rFonts w:ascii="仿宋" w:hAnsi="仿宋" w:eastAsia="仿宋" w:cstheme="minorBidi"/>
          <w:bCs/>
          <w:kern w:val="2"/>
          <w:sz w:val="32"/>
          <w:szCs w:val="32"/>
          <w:lang w:val="en-US" w:eastAsia="zh-CN" w:bidi="ar-SA"/>
        </w:rPr>
        <w:t>: </w:t>
      </w:r>
      <w:r>
        <w:rPr>
          <w:rStyle w:val="17"/>
          <w:rFonts w:hint="eastAsia" w:ascii="仿宋" w:hAnsi="仿宋" w:eastAsia="仿宋"/>
          <w:b w:val="0"/>
          <w:bCs/>
          <w:sz w:val="32"/>
          <w:szCs w:val="32"/>
        </w:rPr>
        <w:t>支出决算为</w:t>
      </w:r>
      <w:r>
        <w:rPr>
          <w:rFonts w:hint="eastAsia" w:ascii="仿宋" w:hAnsi="仿宋" w:eastAsia="仿宋"/>
          <w:b/>
          <w:sz w:val="32"/>
          <w:szCs w:val="32"/>
          <w:lang w:val="en-US" w:eastAsia="zh-CN"/>
        </w:rPr>
        <w:t>2.7</w:t>
      </w:r>
      <w:r>
        <w:rPr>
          <w:rStyle w:val="17"/>
          <w:rFonts w:hint="eastAsia" w:ascii="仿宋" w:hAnsi="仿宋" w:eastAsia="仿宋"/>
          <w:b w:val="0"/>
          <w:bCs/>
          <w:sz w:val="32"/>
          <w:szCs w:val="32"/>
        </w:rPr>
        <w:t>万元，完成预算</w:t>
      </w:r>
      <w:r>
        <w:rPr>
          <w:rFonts w:hint="eastAsia" w:ascii="仿宋" w:hAnsi="仿宋" w:eastAsia="仿宋"/>
          <w:b/>
          <w:sz w:val="32"/>
          <w:szCs w:val="32"/>
          <w:lang w:val="en-US" w:eastAsia="zh-CN"/>
        </w:rPr>
        <w:t>100</w:t>
      </w:r>
      <w:r>
        <w:rPr>
          <w:rFonts w:hint="eastAsia" w:ascii="仿宋" w:hAnsi="仿宋" w:eastAsia="仿宋"/>
          <w:b/>
          <w:sz w:val="32"/>
          <w:szCs w:val="32"/>
        </w:rPr>
        <w:t>%</w:t>
      </w:r>
      <w:r>
        <w:rPr>
          <w:rStyle w:val="17"/>
          <w:rFonts w:hint="eastAsia" w:ascii="仿宋" w:hAnsi="仿宋" w:eastAsia="仿宋"/>
          <w:b w:val="0"/>
          <w:bCs/>
          <w:sz w:val="32"/>
          <w:szCs w:val="32"/>
        </w:rPr>
        <w:t>。</w:t>
      </w:r>
    </w:p>
    <w:p w14:paraId="298DF949">
      <w:pPr>
        <w:spacing w:line="600" w:lineRule="exact"/>
        <w:ind w:firstLine="643" w:firstLineChars="200"/>
      </w:pPr>
      <w:r>
        <w:rPr>
          <w:rStyle w:val="17"/>
          <w:rFonts w:ascii="仿宋" w:hAnsi="仿宋" w:eastAsia="仿宋"/>
          <w:bCs/>
          <w:sz w:val="32"/>
          <w:szCs w:val="32"/>
        </w:rPr>
        <w:t>2.</w:t>
      </w:r>
      <w:r>
        <w:rPr>
          <w:rStyle w:val="17"/>
          <w:rFonts w:hint="eastAsia" w:ascii="仿宋" w:hAnsi="仿宋" w:eastAsia="仿宋" w:cstheme="minorBidi"/>
          <w:bCs/>
          <w:kern w:val="2"/>
          <w:sz w:val="32"/>
          <w:szCs w:val="32"/>
          <w:lang w:val="en-US" w:eastAsia="zh-CN" w:bidi="ar-SA"/>
        </w:rPr>
        <w:t>社会保障和就业（类）人力资源和社会保障管理事务（款）其他人力资源和社会保障管理事务支出（项）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b/>
          <w:sz w:val="32"/>
          <w:szCs w:val="32"/>
          <w:lang w:val="en-US" w:eastAsia="zh-CN"/>
        </w:rPr>
        <w:t>3.01</w:t>
      </w:r>
      <w:r>
        <w:rPr>
          <w:rStyle w:val="17"/>
          <w:rFonts w:hint="eastAsia" w:ascii="仿宋" w:hAnsi="仿宋" w:eastAsia="仿宋"/>
          <w:b w:val="0"/>
          <w:bCs/>
          <w:sz w:val="32"/>
          <w:szCs w:val="32"/>
        </w:rPr>
        <w:t>万元，完成预算</w:t>
      </w:r>
      <w:r>
        <w:rPr>
          <w:rFonts w:hint="eastAsia" w:ascii="仿宋" w:hAnsi="仿宋" w:eastAsia="仿宋"/>
          <w:b/>
          <w:sz w:val="32"/>
          <w:szCs w:val="32"/>
          <w:lang w:val="en-US" w:eastAsia="zh-CN"/>
        </w:rPr>
        <w:t>100</w:t>
      </w:r>
      <w:r>
        <w:rPr>
          <w:rFonts w:hint="eastAsia" w:ascii="仿宋" w:hAnsi="仿宋" w:eastAsia="仿宋"/>
          <w:b/>
          <w:sz w:val="32"/>
          <w:szCs w:val="32"/>
        </w:rPr>
        <w:t>%</w:t>
      </w:r>
      <w:r>
        <w:rPr>
          <w:rStyle w:val="17"/>
          <w:rFonts w:hint="eastAsia" w:ascii="仿宋" w:hAnsi="仿宋" w:eastAsia="仿宋"/>
          <w:b w:val="0"/>
          <w:bCs/>
          <w:sz w:val="32"/>
          <w:szCs w:val="32"/>
        </w:rPr>
        <w:t>。</w:t>
      </w:r>
    </w:p>
    <w:p w14:paraId="789FBC28">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cstheme="minorBidi"/>
          <w:bCs/>
          <w:kern w:val="2"/>
          <w:sz w:val="32"/>
          <w:szCs w:val="32"/>
          <w:lang w:val="en-US" w:eastAsia="zh-CN" w:bidi="ar-SA"/>
        </w:rPr>
        <w:t>社会保障和就业（类）行政事业单位养老支出（款）事业单位离退休（项）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b/>
          <w:sz w:val="32"/>
          <w:szCs w:val="32"/>
          <w:lang w:val="en-US" w:eastAsia="zh-CN"/>
        </w:rPr>
        <w:t>1988.90</w:t>
      </w:r>
      <w:r>
        <w:rPr>
          <w:rStyle w:val="17"/>
          <w:rFonts w:hint="eastAsia" w:ascii="仿宋" w:hAnsi="仿宋" w:eastAsia="仿宋"/>
          <w:b w:val="0"/>
          <w:bCs/>
          <w:sz w:val="32"/>
          <w:szCs w:val="32"/>
        </w:rPr>
        <w:t>万元，完成预算</w:t>
      </w:r>
      <w:r>
        <w:rPr>
          <w:rFonts w:hint="eastAsia" w:ascii="仿宋" w:hAnsi="仿宋" w:eastAsia="仿宋"/>
          <w:b/>
          <w:sz w:val="32"/>
          <w:szCs w:val="32"/>
          <w:lang w:val="en-US" w:eastAsia="zh-CN"/>
        </w:rPr>
        <w:t>100</w:t>
      </w:r>
      <w:r>
        <w:rPr>
          <w:rFonts w:hint="eastAsia" w:ascii="仿宋" w:hAnsi="仿宋" w:eastAsia="仿宋"/>
          <w:b/>
          <w:sz w:val="32"/>
          <w:szCs w:val="32"/>
        </w:rPr>
        <w:t>%</w:t>
      </w:r>
      <w:r>
        <w:rPr>
          <w:rStyle w:val="17"/>
          <w:rFonts w:hint="eastAsia" w:ascii="仿宋" w:hAnsi="仿宋" w:eastAsia="仿宋"/>
          <w:b w:val="0"/>
          <w:bCs/>
          <w:sz w:val="32"/>
          <w:szCs w:val="32"/>
        </w:rPr>
        <w:t>。</w:t>
      </w:r>
    </w:p>
    <w:p w14:paraId="5D03971B">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cstheme="minorBidi"/>
          <w:bCs/>
          <w:kern w:val="2"/>
          <w:sz w:val="32"/>
          <w:szCs w:val="32"/>
          <w:lang w:val="en-US" w:eastAsia="zh-CN" w:bidi="ar-SA"/>
        </w:rPr>
        <w:t>社会保障和就业（类）行政事业单位养老支出（款）机关事业单位基本养老保险缴费支出（项）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b/>
          <w:sz w:val="32"/>
          <w:szCs w:val="32"/>
          <w:lang w:val="en-US" w:eastAsia="zh-CN"/>
        </w:rPr>
        <w:t>566.93</w:t>
      </w:r>
      <w:r>
        <w:rPr>
          <w:rStyle w:val="17"/>
          <w:rFonts w:hint="eastAsia" w:ascii="仿宋" w:hAnsi="仿宋" w:eastAsia="仿宋"/>
          <w:b w:val="0"/>
          <w:bCs/>
          <w:sz w:val="32"/>
          <w:szCs w:val="32"/>
        </w:rPr>
        <w:t>万元，完成预算</w:t>
      </w:r>
      <w:r>
        <w:rPr>
          <w:rFonts w:hint="eastAsia" w:ascii="仿宋" w:hAnsi="仿宋" w:eastAsia="仿宋"/>
          <w:b/>
          <w:sz w:val="32"/>
          <w:szCs w:val="32"/>
          <w:lang w:val="en-US" w:eastAsia="zh-CN"/>
        </w:rPr>
        <w:t>100</w:t>
      </w:r>
      <w:r>
        <w:rPr>
          <w:rFonts w:hint="eastAsia" w:ascii="仿宋" w:hAnsi="仿宋" w:eastAsia="仿宋"/>
          <w:b/>
          <w:sz w:val="32"/>
          <w:szCs w:val="32"/>
        </w:rPr>
        <w:t>%</w:t>
      </w:r>
      <w:r>
        <w:rPr>
          <w:rStyle w:val="17"/>
          <w:rFonts w:hint="eastAsia" w:ascii="仿宋" w:hAnsi="仿宋" w:eastAsia="仿宋"/>
          <w:b w:val="0"/>
          <w:bCs/>
          <w:sz w:val="32"/>
          <w:szCs w:val="32"/>
        </w:rPr>
        <w:t>。</w:t>
      </w:r>
    </w:p>
    <w:p w14:paraId="50A0BAC2">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cstheme="minorBidi"/>
          <w:bCs/>
          <w:kern w:val="2"/>
          <w:sz w:val="32"/>
          <w:szCs w:val="32"/>
          <w:lang w:val="en-US" w:eastAsia="zh-CN" w:bidi="ar-SA"/>
        </w:rPr>
        <w:t>社会保障和就业（类）行政事业单位养老支出（款）机关事业单位职业年金缴费支出（项）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b/>
          <w:sz w:val="32"/>
          <w:szCs w:val="32"/>
          <w:lang w:val="en-US" w:eastAsia="zh-CN"/>
        </w:rPr>
        <w:t>283.47</w:t>
      </w:r>
      <w:r>
        <w:rPr>
          <w:rStyle w:val="17"/>
          <w:rFonts w:hint="eastAsia" w:ascii="仿宋" w:hAnsi="仿宋" w:eastAsia="仿宋"/>
          <w:b w:val="0"/>
          <w:bCs/>
          <w:sz w:val="32"/>
          <w:szCs w:val="32"/>
        </w:rPr>
        <w:t>万元，完成预算</w:t>
      </w:r>
      <w:r>
        <w:rPr>
          <w:rFonts w:hint="eastAsia" w:ascii="仿宋" w:hAnsi="仿宋" w:eastAsia="仿宋"/>
          <w:b/>
          <w:sz w:val="32"/>
          <w:szCs w:val="32"/>
          <w:lang w:val="en-US" w:eastAsia="zh-CN"/>
        </w:rPr>
        <w:t>100</w:t>
      </w:r>
      <w:r>
        <w:rPr>
          <w:rFonts w:hint="eastAsia" w:ascii="仿宋" w:hAnsi="仿宋" w:eastAsia="仿宋"/>
          <w:b/>
          <w:sz w:val="32"/>
          <w:szCs w:val="32"/>
        </w:rPr>
        <w:t>%</w:t>
      </w:r>
      <w:r>
        <w:rPr>
          <w:rStyle w:val="17"/>
          <w:rFonts w:hint="eastAsia" w:ascii="仿宋" w:hAnsi="仿宋" w:eastAsia="仿宋"/>
          <w:b w:val="0"/>
          <w:bCs/>
          <w:sz w:val="32"/>
          <w:szCs w:val="32"/>
        </w:rPr>
        <w:t>。</w:t>
      </w:r>
    </w:p>
    <w:p w14:paraId="0F6DB5F8">
      <w:pPr>
        <w:spacing w:line="600" w:lineRule="exact"/>
        <w:ind w:firstLine="643" w:firstLineChars="200"/>
        <w:rPr>
          <w:rStyle w:val="17"/>
          <w:rFonts w:hint="eastAsia" w:ascii="仿宋" w:hAnsi="仿宋" w:eastAsia="仿宋"/>
          <w:b w:val="0"/>
          <w:bCs/>
          <w:sz w:val="32"/>
          <w:szCs w:val="32"/>
        </w:rPr>
      </w:pPr>
      <w:r>
        <w:rPr>
          <w:rStyle w:val="17"/>
          <w:rFonts w:ascii="仿宋" w:hAnsi="仿宋" w:eastAsia="仿宋"/>
          <w:bCs/>
          <w:sz w:val="32"/>
          <w:szCs w:val="32"/>
        </w:rPr>
        <w:t>6.</w:t>
      </w:r>
      <w:r>
        <w:rPr>
          <w:rStyle w:val="17"/>
          <w:rFonts w:hint="eastAsia" w:ascii="仿宋" w:hAnsi="仿宋" w:eastAsia="仿宋" w:cstheme="minorBidi"/>
          <w:bCs/>
          <w:kern w:val="2"/>
          <w:sz w:val="32"/>
          <w:szCs w:val="32"/>
          <w:lang w:val="en-US" w:eastAsia="zh-CN" w:bidi="ar-SA"/>
        </w:rPr>
        <w:t>社会保障和就业（类）其他社会保障和就业支出（款）其他社会保障和就业支出（项）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Fonts w:hint="eastAsia" w:ascii="仿宋" w:hAnsi="仿宋" w:eastAsia="仿宋"/>
          <w:b/>
          <w:sz w:val="32"/>
          <w:szCs w:val="32"/>
          <w:lang w:val="en-US" w:eastAsia="zh-CN"/>
        </w:rPr>
        <w:t>1.54</w:t>
      </w:r>
      <w:r>
        <w:rPr>
          <w:rStyle w:val="17"/>
          <w:rFonts w:hint="eastAsia" w:ascii="仿宋" w:hAnsi="仿宋" w:eastAsia="仿宋"/>
          <w:b w:val="0"/>
          <w:bCs/>
          <w:sz w:val="32"/>
          <w:szCs w:val="32"/>
        </w:rPr>
        <w:t>万元，完成预算</w:t>
      </w:r>
      <w:r>
        <w:rPr>
          <w:rFonts w:hint="eastAsia" w:ascii="仿宋" w:hAnsi="仿宋" w:eastAsia="仿宋"/>
          <w:b/>
          <w:sz w:val="32"/>
          <w:szCs w:val="32"/>
          <w:lang w:val="en-US" w:eastAsia="zh-CN"/>
        </w:rPr>
        <w:t>100</w:t>
      </w:r>
      <w:r>
        <w:rPr>
          <w:rFonts w:hint="eastAsia" w:ascii="仿宋" w:hAnsi="仿宋" w:eastAsia="仿宋"/>
          <w:b/>
          <w:sz w:val="32"/>
          <w:szCs w:val="32"/>
        </w:rPr>
        <w:t>%</w:t>
      </w:r>
      <w:r>
        <w:rPr>
          <w:rStyle w:val="17"/>
          <w:rFonts w:hint="eastAsia" w:ascii="仿宋" w:hAnsi="仿宋" w:eastAsia="仿宋"/>
          <w:b w:val="0"/>
          <w:bCs/>
          <w:sz w:val="32"/>
          <w:szCs w:val="32"/>
        </w:rPr>
        <w:t>。</w:t>
      </w:r>
    </w:p>
    <w:p w14:paraId="225B419C">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Style w:val="17"/>
          <w:rFonts w:hint="eastAsia" w:ascii="仿宋" w:hAnsi="仿宋" w:eastAsia="仿宋" w:cstheme="minorBidi"/>
          <w:bCs/>
          <w:kern w:val="2"/>
          <w:sz w:val="32"/>
          <w:szCs w:val="32"/>
          <w:lang w:val="en-US" w:eastAsia="zh-CN" w:bidi="ar-SA"/>
        </w:rPr>
        <w:t>卫生健康支出（类）公立医院（款）综合医院（项）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Fonts w:hint="eastAsia" w:ascii="仿宋" w:hAnsi="仿宋" w:eastAsia="仿宋"/>
          <w:b/>
          <w:sz w:val="32"/>
          <w:szCs w:val="32"/>
          <w:lang w:val="en-US" w:eastAsia="zh-CN"/>
        </w:rPr>
        <w:t>16013.94</w:t>
      </w:r>
      <w:r>
        <w:rPr>
          <w:rStyle w:val="17"/>
          <w:rFonts w:hint="eastAsia" w:ascii="仿宋" w:hAnsi="仿宋" w:eastAsia="仿宋"/>
          <w:b w:val="0"/>
          <w:bCs/>
          <w:sz w:val="32"/>
          <w:szCs w:val="32"/>
        </w:rPr>
        <w:t>万元，完成预算</w:t>
      </w:r>
      <w:r>
        <w:rPr>
          <w:rFonts w:hint="eastAsia" w:ascii="仿宋" w:hAnsi="仿宋" w:eastAsia="仿宋"/>
          <w:b/>
          <w:sz w:val="32"/>
          <w:szCs w:val="32"/>
          <w:lang w:val="en-US" w:eastAsia="zh-CN"/>
        </w:rPr>
        <w:t>100</w:t>
      </w:r>
      <w:r>
        <w:rPr>
          <w:rFonts w:hint="eastAsia" w:ascii="仿宋" w:hAnsi="仿宋" w:eastAsia="仿宋"/>
          <w:b/>
          <w:sz w:val="32"/>
          <w:szCs w:val="32"/>
        </w:rPr>
        <w:t>%</w:t>
      </w:r>
      <w:r>
        <w:rPr>
          <w:rStyle w:val="17"/>
          <w:rFonts w:hint="eastAsia" w:ascii="仿宋" w:hAnsi="仿宋" w:eastAsia="仿宋"/>
          <w:b w:val="0"/>
          <w:bCs/>
          <w:sz w:val="32"/>
          <w:szCs w:val="32"/>
        </w:rPr>
        <w:t>。</w:t>
      </w:r>
    </w:p>
    <w:p w14:paraId="0F28AD91">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r>
        <w:rPr>
          <w:rStyle w:val="17"/>
          <w:rFonts w:hint="eastAsia" w:ascii="仿宋" w:hAnsi="仿宋" w:eastAsia="仿宋" w:cstheme="minorBidi"/>
          <w:bCs/>
          <w:kern w:val="2"/>
          <w:sz w:val="32"/>
          <w:szCs w:val="32"/>
          <w:lang w:val="en-US" w:eastAsia="zh-CN" w:bidi="ar-SA"/>
        </w:rPr>
        <w:t>卫生健康支出（类）公立医院（款）其他公立医院支出（项）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Fonts w:hint="eastAsia" w:ascii="仿宋" w:hAnsi="仿宋" w:eastAsia="仿宋"/>
          <w:b/>
          <w:sz w:val="32"/>
          <w:szCs w:val="32"/>
          <w:lang w:val="en-US" w:eastAsia="zh-CN"/>
        </w:rPr>
        <w:t>956.26</w:t>
      </w:r>
      <w:r>
        <w:rPr>
          <w:rStyle w:val="17"/>
          <w:rFonts w:hint="eastAsia" w:ascii="仿宋" w:hAnsi="仿宋" w:eastAsia="仿宋"/>
          <w:b w:val="0"/>
          <w:bCs/>
          <w:sz w:val="32"/>
          <w:szCs w:val="32"/>
        </w:rPr>
        <w:t>万元，完成预算</w:t>
      </w:r>
      <w:r>
        <w:rPr>
          <w:rFonts w:hint="eastAsia" w:ascii="仿宋" w:hAnsi="仿宋" w:eastAsia="仿宋"/>
          <w:b/>
          <w:sz w:val="32"/>
          <w:szCs w:val="32"/>
          <w:lang w:val="en-US" w:eastAsia="zh-CN"/>
        </w:rPr>
        <w:t>100</w:t>
      </w:r>
      <w:r>
        <w:rPr>
          <w:rFonts w:hint="eastAsia" w:ascii="仿宋" w:hAnsi="仿宋" w:eastAsia="仿宋"/>
          <w:b/>
          <w:sz w:val="32"/>
          <w:szCs w:val="32"/>
        </w:rPr>
        <w:t>%</w:t>
      </w:r>
      <w:r>
        <w:rPr>
          <w:rStyle w:val="17"/>
          <w:rFonts w:hint="eastAsia" w:ascii="仿宋" w:hAnsi="仿宋" w:eastAsia="仿宋"/>
          <w:b w:val="0"/>
          <w:bCs/>
          <w:sz w:val="32"/>
          <w:szCs w:val="32"/>
        </w:rPr>
        <w:t>。</w:t>
      </w:r>
    </w:p>
    <w:p w14:paraId="71C7BE7F">
      <w:pPr>
        <w:pStyle w:val="13"/>
        <w:shd w:val="clear" w:color="auto" w:fill="FFFFFF"/>
        <w:spacing w:before="93" w:beforeAutospacing="0" w:after="136" w:afterAutospacing="0" w:line="27" w:lineRule="atLeast"/>
        <w:ind w:firstLine="581" w:firstLineChars="181"/>
        <w:rPr>
          <w:rStyle w:val="17"/>
          <w:rFonts w:hint="eastAsia" w:ascii="仿宋" w:hAnsi="仿宋" w:eastAsia="仿宋" w:cs="仿宋_GB2312"/>
          <w:b w:val="0"/>
          <w:bCs/>
          <w:sz w:val="32"/>
          <w:szCs w:val="32"/>
          <w:shd w:val="clear" w:color="auto" w:fill="FFFFFF"/>
          <w:lang w:eastAsia="zh-CN"/>
        </w:rPr>
      </w:pPr>
      <w:r>
        <w:rPr>
          <w:rStyle w:val="17"/>
          <w:rFonts w:hint="eastAsia" w:ascii="仿宋" w:hAnsi="仿宋" w:eastAsia="仿宋" w:cstheme="minorBidi"/>
          <w:bCs/>
          <w:kern w:val="2"/>
          <w:sz w:val="32"/>
          <w:szCs w:val="32"/>
          <w:lang w:val="en-US" w:eastAsia="zh-CN" w:bidi="ar-SA"/>
        </w:rPr>
        <w:t xml:space="preserve">9.卫生健康支出（类）公共卫生（款）重大公共卫生服务（项）: </w:t>
      </w:r>
      <w:r>
        <w:rPr>
          <w:rStyle w:val="17"/>
          <w:rFonts w:hint="eastAsia" w:ascii="仿宋" w:hAnsi="仿宋" w:eastAsia="仿宋" w:cs="仿宋_GB2312"/>
          <w:b w:val="0"/>
          <w:bCs/>
          <w:sz w:val="32"/>
          <w:szCs w:val="32"/>
          <w:shd w:val="clear" w:color="auto" w:fill="FFFFFF"/>
          <w:lang w:eastAsia="zh-CN"/>
        </w:rPr>
        <w:t>支出决算为</w:t>
      </w:r>
      <w:r>
        <w:rPr>
          <w:rFonts w:hint="eastAsia" w:ascii="仿宋" w:hAnsi="仿宋" w:eastAsia="仿宋" w:cs="Times New Roman"/>
          <w:b/>
          <w:kern w:val="2"/>
          <w:sz w:val="32"/>
          <w:szCs w:val="32"/>
          <w:lang w:val="en-US" w:eastAsia="zh-CN" w:bidi="ar-SA"/>
        </w:rPr>
        <w:t>40.66</w:t>
      </w:r>
      <w:r>
        <w:rPr>
          <w:rStyle w:val="17"/>
          <w:rFonts w:hint="eastAsia" w:ascii="仿宋" w:hAnsi="仿宋" w:eastAsia="仿宋" w:cs="仿宋_GB2312"/>
          <w:b w:val="0"/>
          <w:bCs/>
          <w:sz w:val="32"/>
          <w:szCs w:val="32"/>
          <w:shd w:val="clear" w:color="auto" w:fill="FFFFFF"/>
          <w:lang w:eastAsia="zh-CN"/>
        </w:rPr>
        <w:t>万元，完成预算</w:t>
      </w:r>
      <w:r>
        <w:rPr>
          <w:rFonts w:hint="eastAsia" w:ascii="仿宋" w:hAnsi="仿宋" w:eastAsia="仿宋" w:cs="Times New Roman"/>
          <w:b/>
          <w:kern w:val="2"/>
          <w:sz w:val="32"/>
          <w:szCs w:val="32"/>
          <w:lang w:val="en-US" w:eastAsia="zh-CN" w:bidi="ar-SA"/>
        </w:rPr>
        <w:t>100%</w:t>
      </w:r>
      <w:r>
        <w:rPr>
          <w:rStyle w:val="17"/>
          <w:rFonts w:hint="eastAsia" w:ascii="仿宋" w:hAnsi="仿宋" w:eastAsia="仿宋" w:cs="仿宋_GB2312"/>
          <w:b w:val="0"/>
          <w:bCs/>
          <w:sz w:val="32"/>
          <w:szCs w:val="32"/>
          <w:shd w:val="clear" w:color="auto" w:fill="FFFFFF"/>
          <w:lang w:eastAsia="zh-CN"/>
        </w:rPr>
        <w:t xml:space="preserve">。 </w:t>
      </w:r>
    </w:p>
    <w:p w14:paraId="6A9A6AE0">
      <w:pPr>
        <w:pStyle w:val="13"/>
        <w:shd w:val="clear" w:color="auto" w:fill="FFFFFF"/>
        <w:spacing w:before="93" w:beforeAutospacing="0" w:after="136" w:afterAutospacing="0" w:line="27" w:lineRule="atLeast"/>
        <w:ind w:firstLine="581" w:firstLineChars="181"/>
        <w:rPr>
          <w:rStyle w:val="17"/>
          <w:rFonts w:hint="eastAsia" w:ascii="仿宋" w:hAnsi="仿宋" w:eastAsia="仿宋" w:cs="仿宋_GB2312"/>
          <w:b w:val="0"/>
          <w:bCs/>
          <w:sz w:val="32"/>
          <w:szCs w:val="32"/>
          <w:shd w:val="clear" w:color="auto" w:fill="FFFFFF"/>
          <w:lang w:eastAsia="zh-CN"/>
        </w:rPr>
      </w:pPr>
      <w:r>
        <w:rPr>
          <w:rStyle w:val="17"/>
          <w:rFonts w:hint="eastAsia" w:ascii="仿宋" w:hAnsi="仿宋" w:eastAsia="仿宋" w:cstheme="minorBidi"/>
          <w:bCs/>
          <w:kern w:val="2"/>
          <w:sz w:val="32"/>
          <w:szCs w:val="32"/>
          <w:lang w:val="en-US" w:eastAsia="zh-CN" w:bidi="ar-SA"/>
        </w:rPr>
        <w:t xml:space="preserve">10.卫生健康支出（类）公共卫生（款）突发公共卫生事件应急处理（项）: </w:t>
      </w:r>
      <w:r>
        <w:rPr>
          <w:rStyle w:val="17"/>
          <w:rFonts w:hint="eastAsia" w:ascii="仿宋" w:hAnsi="仿宋" w:eastAsia="仿宋" w:cs="仿宋_GB2312"/>
          <w:b w:val="0"/>
          <w:bCs/>
          <w:sz w:val="32"/>
          <w:szCs w:val="32"/>
          <w:shd w:val="clear" w:color="auto" w:fill="FFFFFF"/>
          <w:lang w:eastAsia="zh-CN"/>
        </w:rPr>
        <w:t>支出决算为</w:t>
      </w:r>
      <w:r>
        <w:rPr>
          <w:rFonts w:hint="eastAsia" w:ascii="仿宋" w:hAnsi="仿宋" w:eastAsia="仿宋" w:cs="Times New Roman"/>
          <w:b/>
          <w:kern w:val="2"/>
          <w:sz w:val="32"/>
          <w:szCs w:val="32"/>
          <w:lang w:val="en-US" w:eastAsia="zh-CN" w:bidi="ar-SA"/>
        </w:rPr>
        <w:t>50.83</w:t>
      </w:r>
      <w:r>
        <w:rPr>
          <w:rStyle w:val="17"/>
          <w:rFonts w:hint="eastAsia" w:ascii="仿宋" w:hAnsi="仿宋" w:eastAsia="仿宋" w:cs="仿宋_GB2312"/>
          <w:b w:val="0"/>
          <w:bCs/>
          <w:sz w:val="32"/>
          <w:szCs w:val="32"/>
          <w:shd w:val="clear" w:color="auto" w:fill="FFFFFF"/>
          <w:lang w:eastAsia="zh-CN"/>
        </w:rPr>
        <w:t>万元，完成预算的</w:t>
      </w:r>
      <w:r>
        <w:rPr>
          <w:rFonts w:hint="eastAsia" w:ascii="仿宋" w:hAnsi="仿宋" w:eastAsia="仿宋" w:cs="Times New Roman"/>
          <w:b/>
          <w:kern w:val="2"/>
          <w:sz w:val="32"/>
          <w:szCs w:val="32"/>
          <w:lang w:val="en-US" w:eastAsia="zh-CN" w:bidi="ar-SA"/>
        </w:rPr>
        <w:t>100%</w:t>
      </w:r>
      <w:r>
        <w:rPr>
          <w:rStyle w:val="17"/>
          <w:rFonts w:hint="eastAsia" w:ascii="仿宋" w:hAnsi="仿宋" w:eastAsia="仿宋" w:cs="仿宋_GB2312"/>
          <w:b w:val="0"/>
          <w:bCs/>
          <w:sz w:val="32"/>
          <w:szCs w:val="32"/>
          <w:shd w:val="clear" w:color="auto" w:fill="FFFFFF"/>
          <w:lang w:eastAsia="zh-CN"/>
        </w:rPr>
        <w:t>。</w:t>
      </w:r>
    </w:p>
    <w:p w14:paraId="1A9E91C1">
      <w:pPr>
        <w:pStyle w:val="13"/>
        <w:shd w:val="clear" w:color="auto" w:fill="FFFFFF"/>
        <w:spacing w:before="93" w:beforeAutospacing="0" w:after="136" w:afterAutospacing="0" w:line="27" w:lineRule="atLeast"/>
        <w:ind w:firstLine="581" w:firstLineChars="181"/>
        <w:rPr>
          <w:rStyle w:val="17"/>
          <w:rFonts w:hint="eastAsia" w:ascii="仿宋" w:hAnsi="仿宋" w:eastAsia="仿宋" w:cstheme="minorBidi"/>
          <w:bCs/>
          <w:kern w:val="2"/>
          <w:sz w:val="32"/>
          <w:szCs w:val="32"/>
          <w:lang w:val="en-US" w:eastAsia="zh-CN" w:bidi="ar-SA"/>
        </w:rPr>
      </w:pPr>
      <w:r>
        <w:rPr>
          <w:rStyle w:val="17"/>
          <w:rFonts w:hint="eastAsia" w:ascii="仿宋" w:hAnsi="仿宋" w:eastAsia="仿宋" w:cstheme="minorBidi"/>
          <w:bCs/>
          <w:kern w:val="2"/>
          <w:sz w:val="32"/>
          <w:szCs w:val="32"/>
          <w:lang w:val="en-US" w:eastAsia="zh-CN" w:bidi="ar-SA"/>
        </w:rPr>
        <w:t xml:space="preserve">11.卫生健康支出（类）公共卫生（款）其他公共卫生支出（项）: </w:t>
      </w:r>
      <w:r>
        <w:rPr>
          <w:rStyle w:val="17"/>
          <w:rFonts w:hint="eastAsia" w:ascii="仿宋" w:hAnsi="仿宋" w:eastAsia="仿宋" w:cs="仿宋_GB2312"/>
          <w:b w:val="0"/>
          <w:bCs/>
          <w:sz w:val="32"/>
          <w:szCs w:val="32"/>
          <w:shd w:val="clear" w:color="auto" w:fill="FFFFFF"/>
          <w:lang w:eastAsia="zh-CN"/>
        </w:rPr>
        <w:t>支出决算为</w:t>
      </w:r>
      <w:r>
        <w:rPr>
          <w:rFonts w:hint="eastAsia" w:ascii="仿宋" w:hAnsi="仿宋" w:eastAsia="仿宋" w:cs="Times New Roman"/>
          <w:b/>
          <w:kern w:val="2"/>
          <w:sz w:val="32"/>
          <w:szCs w:val="32"/>
          <w:lang w:val="en-US" w:eastAsia="zh-CN" w:bidi="ar-SA"/>
        </w:rPr>
        <w:t>314.40</w:t>
      </w:r>
      <w:r>
        <w:rPr>
          <w:rStyle w:val="17"/>
          <w:rFonts w:hint="eastAsia" w:ascii="仿宋" w:hAnsi="仿宋" w:eastAsia="仿宋" w:cs="仿宋_GB2312"/>
          <w:b w:val="0"/>
          <w:bCs/>
          <w:sz w:val="32"/>
          <w:szCs w:val="32"/>
          <w:shd w:val="clear" w:color="auto" w:fill="FFFFFF"/>
          <w:lang w:eastAsia="zh-CN"/>
        </w:rPr>
        <w:t>万元，完成预算的</w:t>
      </w:r>
      <w:r>
        <w:rPr>
          <w:rFonts w:hint="eastAsia" w:ascii="仿宋" w:hAnsi="仿宋" w:eastAsia="仿宋" w:cs="Times New Roman"/>
          <w:b/>
          <w:kern w:val="2"/>
          <w:sz w:val="32"/>
          <w:szCs w:val="32"/>
          <w:lang w:val="en-US" w:eastAsia="zh-CN" w:bidi="ar-SA"/>
        </w:rPr>
        <w:t>100%</w:t>
      </w:r>
      <w:r>
        <w:rPr>
          <w:rStyle w:val="17"/>
          <w:rFonts w:hint="eastAsia" w:ascii="仿宋" w:hAnsi="仿宋" w:eastAsia="仿宋" w:cs="仿宋_GB2312"/>
          <w:b w:val="0"/>
          <w:bCs/>
          <w:sz w:val="32"/>
          <w:szCs w:val="32"/>
          <w:shd w:val="clear" w:color="auto" w:fill="FFFFFF"/>
          <w:lang w:eastAsia="zh-CN"/>
        </w:rPr>
        <w:t>。</w:t>
      </w:r>
    </w:p>
    <w:p w14:paraId="2A1CED39">
      <w:pPr>
        <w:pStyle w:val="13"/>
        <w:shd w:val="clear" w:color="auto" w:fill="FFFFFF"/>
        <w:spacing w:before="93" w:beforeAutospacing="0" w:after="136" w:afterAutospacing="0" w:line="27" w:lineRule="atLeast"/>
        <w:ind w:firstLine="581" w:firstLineChars="181"/>
        <w:rPr>
          <w:rStyle w:val="17"/>
          <w:rFonts w:hint="eastAsia" w:ascii="仿宋" w:hAnsi="仿宋" w:eastAsia="仿宋" w:cs="仿宋_GB2312"/>
          <w:b w:val="0"/>
          <w:bCs/>
          <w:sz w:val="32"/>
          <w:szCs w:val="32"/>
          <w:shd w:val="clear" w:color="auto" w:fill="FFFFFF"/>
          <w:lang w:eastAsia="zh-CN"/>
        </w:rPr>
      </w:pPr>
      <w:r>
        <w:rPr>
          <w:rStyle w:val="17"/>
          <w:rFonts w:hint="eastAsia" w:ascii="仿宋" w:hAnsi="仿宋" w:eastAsia="仿宋" w:cstheme="minorBidi"/>
          <w:bCs/>
          <w:kern w:val="2"/>
          <w:sz w:val="32"/>
          <w:szCs w:val="32"/>
          <w:lang w:val="en-US" w:eastAsia="zh-CN" w:bidi="ar-SA"/>
        </w:rPr>
        <w:t>12.卫生健康支出（类）中医药（款）中医（民族医）药专项（项）:</w:t>
      </w:r>
      <w:r>
        <w:rPr>
          <w:rStyle w:val="17"/>
          <w:rFonts w:hint="eastAsia" w:ascii="仿宋" w:hAnsi="仿宋" w:eastAsia="仿宋" w:cs="仿宋_GB2312"/>
          <w:b w:val="0"/>
          <w:bCs/>
          <w:sz w:val="32"/>
          <w:szCs w:val="32"/>
          <w:shd w:val="clear" w:color="auto" w:fill="FFFFFF"/>
          <w:lang w:eastAsia="zh-CN"/>
        </w:rPr>
        <w:t xml:space="preserve"> 支出决算为</w:t>
      </w:r>
      <w:r>
        <w:rPr>
          <w:rFonts w:hint="eastAsia" w:ascii="仿宋" w:hAnsi="仿宋" w:eastAsia="仿宋" w:cs="Times New Roman"/>
          <w:b/>
          <w:kern w:val="2"/>
          <w:sz w:val="32"/>
          <w:szCs w:val="32"/>
          <w:lang w:val="en-US" w:eastAsia="zh-CN" w:bidi="ar-SA"/>
        </w:rPr>
        <w:t>50</w:t>
      </w:r>
      <w:r>
        <w:rPr>
          <w:rStyle w:val="17"/>
          <w:rFonts w:hint="eastAsia" w:ascii="仿宋" w:hAnsi="仿宋" w:eastAsia="仿宋" w:cs="仿宋_GB2312"/>
          <w:b w:val="0"/>
          <w:bCs/>
          <w:sz w:val="32"/>
          <w:szCs w:val="32"/>
          <w:shd w:val="clear" w:color="auto" w:fill="FFFFFF"/>
          <w:lang w:eastAsia="zh-CN"/>
        </w:rPr>
        <w:t>万元，完成预算的</w:t>
      </w:r>
      <w:r>
        <w:rPr>
          <w:rFonts w:hint="eastAsia" w:ascii="仿宋" w:hAnsi="仿宋" w:eastAsia="仿宋" w:cs="Times New Roman"/>
          <w:b/>
          <w:kern w:val="2"/>
          <w:sz w:val="32"/>
          <w:szCs w:val="32"/>
          <w:lang w:val="en-US" w:eastAsia="zh-CN" w:bidi="ar-SA"/>
        </w:rPr>
        <w:t>100%</w:t>
      </w:r>
      <w:r>
        <w:rPr>
          <w:rStyle w:val="17"/>
          <w:rFonts w:hint="eastAsia" w:ascii="仿宋" w:hAnsi="仿宋" w:eastAsia="仿宋" w:cs="仿宋_GB2312"/>
          <w:b w:val="0"/>
          <w:bCs/>
          <w:sz w:val="32"/>
          <w:szCs w:val="32"/>
          <w:shd w:val="clear" w:color="auto" w:fill="FFFFFF"/>
          <w:lang w:eastAsia="zh-CN"/>
        </w:rPr>
        <w:t>。</w:t>
      </w:r>
    </w:p>
    <w:p w14:paraId="420CB9AC">
      <w:pPr>
        <w:pStyle w:val="13"/>
        <w:shd w:val="clear" w:color="auto" w:fill="FFFFFF"/>
        <w:spacing w:before="93" w:beforeAutospacing="0" w:after="136" w:afterAutospacing="0" w:line="27" w:lineRule="atLeast"/>
        <w:ind w:firstLine="581" w:firstLineChars="181"/>
        <w:rPr>
          <w:rStyle w:val="17"/>
          <w:rFonts w:hint="eastAsia" w:ascii="仿宋" w:hAnsi="仿宋" w:eastAsia="仿宋" w:cs="仿宋_GB2312"/>
          <w:b w:val="0"/>
          <w:bCs/>
          <w:sz w:val="32"/>
          <w:szCs w:val="32"/>
          <w:shd w:val="clear" w:color="auto" w:fill="FFFFFF"/>
          <w:lang w:eastAsia="zh-CN"/>
        </w:rPr>
      </w:pPr>
      <w:r>
        <w:rPr>
          <w:rStyle w:val="17"/>
          <w:rFonts w:hint="eastAsia" w:ascii="仿宋" w:hAnsi="仿宋" w:eastAsia="仿宋" w:cstheme="minorBidi"/>
          <w:bCs/>
          <w:kern w:val="2"/>
          <w:sz w:val="32"/>
          <w:szCs w:val="32"/>
          <w:lang w:val="en-US" w:eastAsia="zh-CN" w:bidi="ar-SA"/>
        </w:rPr>
        <w:t>13.卫生健康支出（类）行政事业单位医疗（款）其他行政事业单位医疗支出（项）:</w:t>
      </w:r>
      <w:r>
        <w:rPr>
          <w:rStyle w:val="17"/>
          <w:rFonts w:hint="eastAsia" w:ascii="仿宋" w:hAnsi="仿宋" w:eastAsia="仿宋" w:cs="仿宋_GB2312"/>
          <w:b w:val="0"/>
          <w:bCs/>
          <w:sz w:val="32"/>
          <w:szCs w:val="32"/>
          <w:shd w:val="clear" w:color="auto" w:fill="FFFFFF"/>
          <w:lang w:eastAsia="zh-CN"/>
        </w:rPr>
        <w:t xml:space="preserve"> 支出决算为</w:t>
      </w:r>
      <w:r>
        <w:rPr>
          <w:rFonts w:hint="eastAsia" w:ascii="仿宋" w:hAnsi="仿宋" w:eastAsia="仿宋" w:cs="Times New Roman"/>
          <w:b/>
          <w:kern w:val="2"/>
          <w:sz w:val="32"/>
          <w:szCs w:val="32"/>
          <w:lang w:val="en-US" w:eastAsia="zh-CN" w:bidi="ar-SA"/>
        </w:rPr>
        <w:t>311.40</w:t>
      </w:r>
      <w:r>
        <w:rPr>
          <w:rStyle w:val="17"/>
          <w:rFonts w:hint="eastAsia" w:ascii="仿宋" w:hAnsi="仿宋" w:eastAsia="仿宋" w:cs="仿宋_GB2312"/>
          <w:b w:val="0"/>
          <w:bCs/>
          <w:sz w:val="32"/>
          <w:szCs w:val="32"/>
          <w:shd w:val="clear" w:color="auto" w:fill="FFFFFF"/>
          <w:lang w:eastAsia="zh-CN"/>
        </w:rPr>
        <w:t>万元，完成预算的</w:t>
      </w:r>
      <w:r>
        <w:rPr>
          <w:rFonts w:hint="eastAsia" w:ascii="仿宋" w:hAnsi="仿宋" w:eastAsia="仿宋" w:cs="Times New Roman"/>
          <w:b/>
          <w:kern w:val="2"/>
          <w:sz w:val="32"/>
          <w:szCs w:val="32"/>
          <w:lang w:val="en-US" w:eastAsia="zh-CN" w:bidi="ar-SA"/>
        </w:rPr>
        <w:t>100%</w:t>
      </w:r>
      <w:r>
        <w:rPr>
          <w:rStyle w:val="17"/>
          <w:rFonts w:hint="eastAsia" w:ascii="仿宋" w:hAnsi="仿宋" w:eastAsia="仿宋" w:cs="仿宋_GB2312"/>
          <w:b w:val="0"/>
          <w:bCs/>
          <w:sz w:val="32"/>
          <w:szCs w:val="32"/>
          <w:shd w:val="clear" w:color="auto" w:fill="FFFFFF"/>
          <w:lang w:eastAsia="zh-CN"/>
        </w:rPr>
        <w:t>。</w:t>
      </w:r>
    </w:p>
    <w:p w14:paraId="45A9881B">
      <w:pPr>
        <w:pStyle w:val="13"/>
        <w:shd w:val="clear" w:color="auto" w:fill="FFFFFF"/>
        <w:spacing w:before="93" w:beforeAutospacing="0" w:after="136" w:afterAutospacing="0" w:line="27" w:lineRule="atLeast"/>
        <w:ind w:firstLine="581" w:firstLineChars="181"/>
        <w:rPr>
          <w:rStyle w:val="17"/>
          <w:rFonts w:hint="eastAsia" w:ascii="仿宋" w:hAnsi="仿宋" w:eastAsia="仿宋" w:cs="仿宋_GB2312"/>
          <w:b w:val="0"/>
          <w:bCs/>
          <w:sz w:val="32"/>
          <w:szCs w:val="32"/>
          <w:shd w:val="clear" w:color="auto" w:fill="FFFFFF"/>
          <w:lang w:eastAsia="zh-CN"/>
        </w:rPr>
      </w:pPr>
      <w:r>
        <w:rPr>
          <w:rStyle w:val="17"/>
          <w:rFonts w:hint="eastAsia" w:ascii="仿宋" w:hAnsi="仿宋" w:eastAsia="仿宋" w:cstheme="minorBidi"/>
          <w:bCs/>
          <w:kern w:val="2"/>
          <w:sz w:val="32"/>
          <w:szCs w:val="32"/>
          <w:lang w:val="en-US" w:eastAsia="zh-CN" w:bidi="ar-SA"/>
        </w:rPr>
        <w:t xml:space="preserve">14.卫生健康支出（类）其他卫生健康支出（款）其他卫生健康支出（项）: </w:t>
      </w:r>
      <w:r>
        <w:rPr>
          <w:rStyle w:val="17"/>
          <w:rFonts w:hint="eastAsia" w:ascii="仿宋" w:hAnsi="仿宋" w:eastAsia="仿宋" w:cs="仿宋_GB2312"/>
          <w:b w:val="0"/>
          <w:bCs/>
          <w:sz w:val="32"/>
          <w:szCs w:val="32"/>
          <w:shd w:val="clear" w:color="auto" w:fill="FFFFFF"/>
          <w:lang w:eastAsia="zh-CN"/>
        </w:rPr>
        <w:t>支出决算为</w:t>
      </w:r>
      <w:r>
        <w:rPr>
          <w:rFonts w:hint="eastAsia" w:ascii="仿宋" w:hAnsi="仿宋" w:eastAsia="仿宋" w:cs="Times New Roman"/>
          <w:b/>
          <w:kern w:val="2"/>
          <w:sz w:val="32"/>
          <w:szCs w:val="32"/>
          <w:lang w:val="en-US" w:eastAsia="zh-CN" w:bidi="ar-SA"/>
        </w:rPr>
        <w:t>4714.82</w:t>
      </w:r>
      <w:r>
        <w:rPr>
          <w:rStyle w:val="17"/>
          <w:rFonts w:hint="eastAsia" w:ascii="仿宋" w:hAnsi="仿宋" w:eastAsia="仿宋" w:cs="仿宋_GB2312"/>
          <w:b w:val="0"/>
          <w:bCs/>
          <w:sz w:val="32"/>
          <w:szCs w:val="32"/>
          <w:shd w:val="clear" w:color="auto" w:fill="FFFFFF"/>
          <w:lang w:eastAsia="zh-CN"/>
        </w:rPr>
        <w:t>万元，完成预算的</w:t>
      </w:r>
      <w:r>
        <w:rPr>
          <w:rFonts w:hint="eastAsia" w:ascii="仿宋" w:hAnsi="仿宋" w:eastAsia="仿宋" w:cs="Times New Roman"/>
          <w:b/>
          <w:kern w:val="2"/>
          <w:sz w:val="32"/>
          <w:szCs w:val="32"/>
          <w:lang w:val="en-US" w:eastAsia="zh-CN" w:bidi="ar-SA"/>
        </w:rPr>
        <w:t>100%</w:t>
      </w:r>
      <w:r>
        <w:rPr>
          <w:rStyle w:val="17"/>
          <w:rFonts w:hint="eastAsia" w:ascii="仿宋" w:hAnsi="仿宋" w:eastAsia="仿宋" w:cs="仿宋_GB2312"/>
          <w:b w:val="0"/>
          <w:bCs/>
          <w:sz w:val="32"/>
          <w:szCs w:val="32"/>
          <w:shd w:val="clear" w:color="auto" w:fill="FFFFFF"/>
          <w:lang w:eastAsia="zh-CN"/>
        </w:rPr>
        <w:t>。</w:t>
      </w:r>
    </w:p>
    <w:p w14:paraId="12126F58">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54BAAD59">
      <w:pPr>
        <w:spacing w:line="600" w:lineRule="exact"/>
        <w:ind w:firstLine="640"/>
        <w:rPr>
          <w:rFonts w:ascii="仿宋" w:hAnsi="仿宋" w:eastAsia="仿宋"/>
          <w:b/>
          <w:sz w:val="32"/>
          <w:szCs w:val="32"/>
        </w:rPr>
      </w:pPr>
    </w:p>
    <w:p w14:paraId="378AABA7">
      <w:pPr>
        <w:tabs>
          <w:tab w:val="right" w:pos="8306"/>
        </w:tabs>
        <w:spacing w:line="600" w:lineRule="exact"/>
        <w:ind w:firstLine="640"/>
        <w:outlineLvl w:val="1"/>
        <w:rPr>
          <w:rStyle w:val="29"/>
        </w:rPr>
      </w:pPr>
      <w:bookmarkStart w:id="52" w:name="_Toc15396608"/>
      <w:bookmarkStart w:id="53" w:name="_Toc15377214"/>
      <w:bookmarkStart w:id="54" w:name="_Toc856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52"/>
      <w:bookmarkEnd w:id="53"/>
      <w:bookmarkEnd w:id="54"/>
      <w:r>
        <w:rPr>
          <w:rStyle w:val="29"/>
          <w:rFonts w:ascii="黑体" w:hAnsi="黑体" w:eastAsia="黑体"/>
          <w:b w:val="0"/>
        </w:rPr>
        <w:tab/>
      </w:r>
    </w:p>
    <w:p w14:paraId="7C6D5C8A">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6005.26</w:t>
      </w:r>
      <w:r>
        <w:rPr>
          <w:rFonts w:hint="eastAsia" w:ascii="仿宋" w:hAnsi="仿宋" w:eastAsia="仿宋"/>
          <w:sz w:val="32"/>
          <w:szCs w:val="32"/>
        </w:rPr>
        <w:t>万元，其中：</w:t>
      </w:r>
    </w:p>
    <w:p w14:paraId="28A37D12">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5907.9</w:t>
      </w:r>
      <w:r>
        <w:rPr>
          <w:rFonts w:hint="eastAsia" w:ascii="仿宋" w:hAnsi="仿宋" w:eastAsia="仿宋"/>
          <w:sz w:val="32"/>
          <w:szCs w:val="32"/>
        </w:rPr>
        <w:t>万元，主要包括：基本工资、津贴补贴、绩效工资、机关事业单位基本养老保险缴费、职业年金缴费、其他社会保障缴费、其他工资福利支出、离休费、其他对个人和家庭的补助支出。</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97.36</w:t>
      </w:r>
      <w:r>
        <w:rPr>
          <w:rFonts w:hint="eastAsia" w:ascii="仿宋" w:hAnsi="仿宋" w:eastAsia="仿宋"/>
          <w:sz w:val="32"/>
          <w:szCs w:val="32"/>
        </w:rPr>
        <w:t>万元，主要包括：其他商品和服务支出。</w:t>
      </w:r>
    </w:p>
    <w:p w14:paraId="3836083D">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66D2C355">
      <w:pPr>
        <w:spacing w:line="600" w:lineRule="exact"/>
        <w:ind w:firstLine="640"/>
        <w:rPr>
          <w:rFonts w:ascii="仿宋" w:hAnsi="仿宋" w:eastAsia="仿宋"/>
          <w:b/>
          <w:sz w:val="32"/>
          <w:szCs w:val="32"/>
        </w:rPr>
      </w:pPr>
    </w:p>
    <w:p w14:paraId="62DE4E94">
      <w:pPr>
        <w:spacing w:line="600" w:lineRule="exact"/>
        <w:ind w:firstLine="640"/>
        <w:outlineLvl w:val="1"/>
        <w:rPr>
          <w:rStyle w:val="29"/>
          <w:rFonts w:ascii="黑体" w:hAnsi="黑体" w:eastAsia="黑体"/>
          <w:b w:val="0"/>
        </w:rPr>
      </w:pPr>
      <w:bookmarkStart w:id="55" w:name="_Toc15377215"/>
      <w:bookmarkStart w:id="56" w:name="_Toc6721"/>
      <w:bookmarkStart w:id="5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55"/>
      <w:bookmarkEnd w:id="56"/>
      <w:bookmarkEnd w:id="57"/>
    </w:p>
    <w:p w14:paraId="0F4B8CE5">
      <w:pPr>
        <w:spacing w:line="600" w:lineRule="exact"/>
        <w:ind w:firstLine="640"/>
        <w:outlineLvl w:val="2"/>
        <w:rPr>
          <w:rFonts w:ascii="仿宋" w:hAnsi="仿宋" w:eastAsia="仿宋"/>
          <w:b/>
          <w:sz w:val="32"/>
          <w:szCs w:val="32"/>
        </w:rPr>
      </w:pPr>
      <w:bookmarkStart w:id="58" w:name="_Toc15377216"/>
      <w:r>
        <w:rPr>
          <w:rFonts w:hint="eastAsia" w:ascii="仿宋" w:hAnsi="仿宋" w:eastAsia="仿宋"/>
          <w:b/>
          <w:sz w:val="32"/>
          <w:szCs w:val="32"/>
        </w:rPr>
        <w:t>（一）“三公”经费财政拨款支出决算总体情况说明</w:t>
      </w:r>
      <w:bookmarkEnd w:id="58"/>
    </w:p>
    <w:p w14:paraId="395E96F1">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，我单位不属于“三公”经费财政拨款支出的预算单位。</w:t>
      </w:r>
    </w:p>
    <w:p w14:paraId="2E28DC37">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60ADCA44">
      <w:pPr>
        <w:spacing w:line="600" w:lineRule="exact"/>
        <w:ind w:firstLine="640"/>
        <w:outlineLvl w:val="2"/>
        <w:rPr>
          <w:rFonts w:ascii="仿宋" w:hAnsi="仿宋" w:eastAsia="仿宋"/>
          <w:b/>
          <w:sz w:val="32"/>
          <w:szCs w:val="32"/>
        </w:rPr>
      </w:pPr>
      <w:bookmarkStart w:id="59" w:name="_Toc15377217"/>
      <w:r>
        <w:rPr>
          <w:rFonts w:hint="eastAsia" w:ascii="仿宋" w:hAnsi="仿宋" w:eastAsia="仿宋"/>
          <w:b/>
          <w:sz w:val="32"/>
          <w:szCs w:val="32"/>
        </w:rPr>
        <w:t>（二）“三公”经费财政拨款支出决算具体情况说明</w:t>
      </w:r>
      <w:bookmarkEnd w:id="59"/>
    </w:p>
    <w:p w14:paraId="6C98731E">
      <w:pPr>
        <w:pStyle w:val="2"/>
        <w:jc w:val="left"/>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0D823DE3">
      <w:pPr>
        <w:pStyle w:val="2"/>
        <w:jc w:val="center"/>
        <w:rPr>
          <w:rFonts w:ascii="仿宋" w:hAnsi="仿宋" w:eastAsia="仿宋"/>
          <w:sz w:val="32"/>
          <w:szCs w:val="32"/>
        </w:rPr>
      </w:pPr>
      <w:r>
        <w:rPr>
          <w:rFonts w:hint="eastAsia" w:eastAsia="仿宋"/>
          <w:lang w:eastAsia="zh-CN"/>
        </w:rPr>
        <w:drawing>
          <wp:inline distT="0" distB="0" distL="114300" distR="114300">
            <wp:extent cx="4333875" cy="2499360"/>
            <wp:effectExtent l="0" t="0" r="9525" b="15240"/>
            <wp:docPr id="11" name="图片 11"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8"/>
                    <pic:cNvPicPr>
                      <a:picLocks noChangeAspect="1"/>
                    </pic:cNvPicPr>
                  </pic:nvPicPr>
                  <pic:blipFill>
                    <a:blip r:embed="rId12"/>
                    <a:stretch>
                      <a:fillRect/>
                    </a:stretch>
                  </pic:blipFill>
                  <pic:spPr>
                    <a:xfrm>
                      <a:off x="0" y="0"/>
                      <a:ext cx="4333875" cy="2499360"/>
                    </a:xfrm>
                    <a:prstGeom prst="rect">
                      <a:avLst/>
                    </a:prstGeom>
                  </pic:spPr>
                </pic:pic>
              </a:graphicData>
            </a:graphic>
          </wp:inline>
        </w:drawing>
      </w:r>
    </w:p>
    <w:p w14:paraId="2797C91C">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14:paraId="6E5D8155">
      <w:pPr>
        <w:spacing w:line="600" w:lineRule="exact"/>
        <w:ind w:firstLine="640"/>
        <w:rPr>
          <w:rFonts w:ascii="仿宋_GB2312" w:eastAsia="仿宋_GB2312"/>
          <w:b/>
          <w:sz w:val="32"/>
          <w:szCs w:val="32"/>
        </w:rPr>
      </w:pPr>
      <w:bookmarkStart w:id="60" w:name="_Toc15396610"/>
      <w:bookmarkStart w:id="6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一致</w:t>
      </w:r>
      <w:r>
        <w:rPr>
          <w:rFonts w:hint="eastAsia" w:ascii="仿宋_GB2312" w:eastAsia="仿宋_GB2312"/>
          <w:sz w:val="32"/>
          <w:szCs w:val="32"/>
        </w:rPr>
        <w:t>。</w:t>
      </w:r>
    </w:p>
    <w:p w14:paraId="3F0422E0">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一致</w:t>
      </w:r>
      <w:r>
        <w:rPr>
          <w:rFonts w:hint="eastAsia" w:ascii="仿宋_GB2312" w:eastAsia="仿宋_GB2312"/>
          <w:sz w:val="32"/>
          <w:szCs w:val="32"/>
        </w:rPr>
        <w:t>。</w:t>
      </w:r>
    </w:p>
    <w:p w14:paraId="54F2BD6A">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31</w:t>
      </w:r>
      <w:r>
        <w:rPr>
          <w:rFonts w:hint="eastAsia" w:ascii="仿宋_GB2312" w:eastAsia="仿宋_GB2312"/>
          <w:sz w:val="32"/>
          <w:szCs w:val="32"/>
        </w:rPr>
        <w:t>辆，其中：轿车</w:t>
      </w:r>
      <w:r>
        <w:rPr>
          <w:rFonts w:hint="eastAsia" w:ascii="仿宋_GB2312" w:eastAsia="仿宋_GB2312"/>
          <w:sz w:val="32"/>
          <w:szCs w:val="32"/>
          <w:lang w:val="en-US" w:eastAsia="zh-CN"/>
        </w:rPr>
        <w:t>6</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辆、载客汽车</w:t>
      </w:r>
      <w:r>
        <w:rPr>
          <w:rFonts w:hint="eastAsia" w:ascii="仿宋_GB2312" w:eastAsia="仿宋_GB2312"/>
          <w:sz w:val="32"/>
          <w:szCs w:val="32"/>
          <w:lang w:val="en-US" w:eastAsia="zh-CN"/>
        </w:rPr>
        <w:t>5</w:t>
      </w:r>
      <w:r>
        <w:rPr>
          <w:rFonts w:hint="eastAsia" w:ascii="仿宋_GB2312" w:eastAsia="仿宋_GB2312"/>
          <w:sz w:val="32"/>
          <w:szCs w:val="32"/>
        </w:rPr>
        <w:t>辆</w:t>
      </w:r>
      <w:r>
        <w:rPr>
          <w:rFonts w:hint="eastAsia" w:ascii="仿宋_GB2312" w:eastAsia="仿宋_GB2312"/>
          <w:sz w:val="32"/>
          <w:szCs w:val="32"/>
          <w:lang w:eastAsia="zh-CN"/>
        </w:rPr>
        <w:t>、救护车</w:t>
      </w:r>
      <w:r>
        <w:rPr>
          <w:rFonts w:hint="eastAsia" w:ascii="仿宋_GB2312" w:eastAsia="仿宋_GB2312"/>
          <w:sz w:val="32"/>
          <w:szCs w:val="32"/>
          <w:lang w:val="en-US" w:eastAsia="zh-CN"/>
        </w:rPr>
        <w:t>18辆</w:t>
      </w:r>
      <w:r>
        <w:rPr>
          <w:rFonts w:hint="eastAsia" w:ascii="仿宋_GB2312" w:eastAsia="仿宋_GB2312"/>
          <w:sz w:val="32"/>
          <w:szCs w:val="32"/>
        </w:rPr>
        <w:t>。</w:t>
      </w:r>
    </w:p>
    <w:p w14:paraId="7E0FB4A5">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6C473A57">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bookmarkStart w:id="109" w:name="_GoBack"/>
      <w:r>
        <w:rPr>
          <w:rFonts w:hint="eastAsia" w:ascii="仿宋" w:hAnsi="仿宋" w:eastAsia="仿宋" w:cs="Times New Roman"/>
          <w:b/>
          <w:kern w:val="2"/>
          <w:sz w:val="32"/>
          <w:szCs w:val="32"/>
          <w:lang w:val="en-US" w:eastAsia="zh-CN" w:bidi="ar-SA"/>
        </w:rPr>
        <w:t>0%</w:t>
      </w:r>
      <w:bookmarkEnd w:id="109"/>
      <w:r>
        <w:rPr>
          <w:rStyle w:val="17"/>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一致</w:t>
      </w:r>
      <w:r>
        <w:rPr>
          <w:rFonts w:hint="eastAsia" w:ascii="仿宋_GB2312" w:eastAsia="仿宋_GB2312"/>
          <w:sz w:val="32"/>
          <w:szCs w:val="32"/>
        </w:rPr>
        <w:t>。其中：</w:t>
      </w:r>
    </w:p>
    <w:p w14:paraId="26FB5C4A">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F27C995">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0D7C32F6">
      <w:pPr>
        <w:spacing w:line="600" w:lineRule="exact"/>
        <w:ind w:firstLine="640"/>
        <w:outlineLvl w:val="9"/>
        <w:rPr>
          <w:rFonts w:ascii="黑体" w:eastAsia="黑体"/>
          <w:sz w:val="32"/>
          <w:szCs w:val="32"/>
        </w:rPr>
      </w:pPr>
    </w:p>
    <w:p w14:paraId="56E7854A">
      <w:pPr>
        <w:spacing w:line="600" w:lineRule="exact"/>
        <w:ind w:firstLine="640"/>
        <w:outlineLvl w:val="1"/>
        <w:rPr>
          <w:rStyle w:val="29"/>
          <w:rFonts w:ascii="黑体" w:hAnsi="黑体" w:eastAsia="黑体"/>
        </w:rPr>
      </w:pPr>
      <w:bookmarkStart w:id="62" w:name="_Toc6310"/>
      <w:r>
        <w:rPr>
          <w:rFonts w:hint="eastAsia" w:ascii="黑体" w:eastAsia="黑体"/>
          <w:sz w:val="32"/>
          <w:szCs w:val="32"/>
        </w:rPr>
        <w:t>八、</w:t>
      </w:r>
      <w:r>
        <w:rPr>
          <w:rStyle w:val="29"/>
          <w:rFonts w:hint="eastAsia" w:ascii="黑体" w:hAnsi="黑体" w:eastAsia="黑体"/>
          <w:b w:val="0"/>
        </w:rPr>
        <w:t>政府性基金预算支出决算情况说明</w:t>
      </w:r>
      <w:bookmarkEnd w:id="60"/>
      <w:bookmarkEnd w:id="61"/>
      <w:bookmarkEnd w:id="62"/>
    </w:p>
    <w:p w14:paraId="218882B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785BF7C5">
      <w:pPr>
        <w:spacing w:line="600" w:lineRule="exact"/>
        <w:ind w:firstLine="640"/>
        <w:rPr>
          <w:rFonts w:ascii="仿宋_GB2312" w:eastAsia="仿宋_GB2312"/>
          <w:sz w:val="32"/>
          <w:szCs w:val="32"/>
        </w:rPr>
      </w:pPr>
    </w:p>
    <w:p w14:paraId="6761BAB3">
      <w:pPr>
        <w:numPr>
          <w:ilvl w:val="0"/>
          <w:numId w:val="3"/>
        </w:numPr>
        <w:spacing w:line="600" w:lineRule="exact"/>
        <w:ind w:firstLine="640"/>
        <w:outlineLvl w:val="1"/>
        <w:rPr>
          <w:rStyle w:val="29"/>
          <w:rFonts w:ascii="黑体" w:hAnsi="黑体" w:eastAsia="黑体"/>
          <w:b w:val="0"/>
        </w:rPr>
      </w:pPr>
      <w:bookmarkStart w:id="63" w:name="_Toc15377219"/>
      <w:bookmarkStart w:id="64" w:name="_Toc15396611"/>
      <w:bookmarkStart w:id="65" w:name="_Toc15339"/>
      <w:r>
        <w:rPr>
          <w:rStyle w:val="29"/>
          <w:rFonts w:hint="eastAsia" w:ascii="黑体" w:hAnsi="黑体" w:eastAsia="黑体"/>
          <w:b w:val="0"/>
        </w:rPr>
        <w:t>国有资本经营预算支出决算情况说明</w:t>
      </w:r>
      <w:bookmarkEnd w:id="63"/>
      <w:bookmarkEnd w:id="64"/>
      <w:bookmarkEnd w:id="65"/>
    </w:p>
    <w:p w14:paraId="07F73678">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251A7923">
      <w:pPr>
        <w:spacing w:line="580" w:lineRule="exact"/>
        <w:jc w:val="center"/>
        <w:rPr>
          <w:rFonts w:ascii="方正小标宋简体" w:hAnsi="方正小标宋简体" w:eastAsia="方正小标宋简体" w:cs="方正小标宋简体"/>
          <w:sz w:val="44"/>
          <w:szCs w:val="44"/>
        </w:rPr>
      </w:pPr>
    </w:p>
    <w:p w14:paraId="53860692">
      <w:pPr>
        <w:numPr>
          <w:ilvl w:val="0"/>
          <w:numId w:val="3"/>
        </w:numPr>
        <w:spacing w:line="600" w:lineRule="exact"/>
        <w:ind w:firstLine="640"/>
        <w:outlineLvl w:val="1"/>
        <w:rPr>
          <w:rStyle w:val="29"/>
          <w:rFonts w:ascii="黑体" w:hAnsi="黑体" w:eastAsia="黑体"/>
          <w:b w:val="0"/>
        </w:rPr>
      </w:pPr>
      <w:bookmarkStart w:id="66" w:name="_Toc15396612"/>
      <w:bookmarkStart w:id="67" w:name="_Toc15377221"/>
      <w:bookmarkStart w:id="68" w:name="_Toc11438"/>
      <w:r>
        <w:rPr>
          <w:rStyle w:val="29"/>
          <w:rFonts w:hint="eastAsia" w:ascii="黑体" w:hAnsi="黑体" w:eastAsia="黑体"/>
          <w:b w:val="0"/>
        </w:rPr>
        <w:t>其他重要事项的情况说明</w:t>
      </w:r>
      <w:bookmarkEnd w:id="66"/>
      <w:bookmarkEnd w:id="67"/>
      <w:bookmarkEnd w:id="68"/>
    </w:p>
    <w:p w14:paraId="453FCE94">
      <w:pPr>
        <w:spacing w:line="600" w:lineRule="exact"/>
        <w:ind w:firstLine="643" w:firstLineChars="200"/>
        <w:outlineLvl w:val="2"/>
        <w:rPr>
          <w:rFonts w:ascii="仿宋" w:hAnsi="仿宋" w:eastAsia="仿宋"/>
          <w:sz w:val="32"/>
          <w:szCs w:val="32"/>
        </w:rPr>
      </w:pPr>
      <w:bookmarkStart w:id="69" w:name="_Toc15377222"/>
      <w:r>
        <w:rPr>
          <w:rFonts w:hint="eastAsia" w:ascii="仿宋" w:hAnsi="仿宋" w:eastAsia="仿宋"/>
          <w:b/>
          <w:sz w:val="32"/>
          <w:szCs w:val="32"/>
        </w:rPr>
        <w:t>（一）机关运行经费支出情况</w:t>
      </w:r>
      <w:bookmarkEnd w:id="69"/>
    </w:p>
    <w:p w14:paraId="2D5931B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凉山彝族自治州第一人民医院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万元，与2022年度决算数持平。</w:t>
      </w:r>
    </w:p>
    <w:p w14:paraId="1F4D3BF1">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7F86EA43">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15377223"/>
      <w:r>
        <w:rPr>
          <w:rFonts w:hint="eastAsia" w:ascii="仿宋" w:hAnsi="仿宋" w:eastAsia="仿宋"/>
          <w:b/>
          <w:sz w:val="32"/>
          <w:szCs w:val="32"/>
        </w:rPr>
        <w:t>（二）政府采购支出情况</w:t>
      </w:r>
      <w:bookmarkEnd w:id="70"/>
    </w:p>
    <w:p w14:paraId="5A68B1A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凉山彝族自治州第一人民医院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5A042FD1">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5726EB9">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Toc15377224"/>
      <w:r>
        <w:rPr>
          <w:rFonts w:hint="eastAsia" w:ascii="仿宋" w:hAnsi="仿宋" w:eastAsia="仿宋"/>
          <w:b/>
          <w:sz w:val="32"/>
          <w:szCs w:val="32"/>
        </w:rPr>
        <w:t>（三）国有资产占有使用情况</w:t>
      </w:r>
      <w:bookmarkEnd w:id="71"/>
    </w:p>
    <w:p w14:paraId="499339DE">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截至2023年12月31日，凉山彝族自治州第一人民医院共有车辆</w:t>
      </w:r>
      <w:r>
        <w:rPr>
          <w:rFonts w:hint="eastAsia" w:ascii="仿宋_GB2312" w:eastAsia="仿宋_GB2312"/>
          <w:sz w:val="32"/>
          <w:szCs w:val="32"/>
          <w:lang w:val="en-US" w:eastAsia="zh-CN"/>
        </w:rPr>
        <w:t>31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13</w:t>
      </w:r>
      <w:r>
        <w:rPr>
          <w:rFonts w:hint="eastAsia" w:ascii="仿宋_GB2312" w:eastAsia="仿宋_GB2312"/>
          <w:sz w:val="32"/>
          <w:szCs w:val="32"/>
        </w:rPr>
        <w:t>辆、其他用车</w:t>
      </w:r>
      <w:r>
        <w:rPr>
          <w:rFonts w:hint="eastAsia" w:ascii="仿宋_GB2312" w:eastAsia="仿宋_GB2312"/>
          <w:sz w:val="32"/>
          <w:szCs w:val="32"/>
          <w:lang w:val="en-US" w:eastAsia="zh-CN"/>
        </w:rPr>
        <w:t>18</w:t>
      </w:r>
      <w:r>
        <w:rPr>
          <w:rFonts w:hint="eastAsia" w:ascii="仿宋_GB2312" w:eastAsia="仿宋_GB2312"/>
          <w:sz w:val="32"/>
          <w:szCs w:val="32"/>
        </w:rPr>
        <w:t>辆，其他用车主要是用于</w:t>
      </w:r>
      <w:r>
        <w:rPr>
          <w:rFonts w:hint="eastAsia" w:ascii="仿宋_GB2312" w:eastAsia="仿宋_GB2312"/>
          <w:sz w:val="32"/>
          <w:szCs w:val="32"/>
          <w:lang w:eastAsia="zh-CN"/>
        </w:rPr>
        <w:t>救护工作</w:t>
      </w:r>
      <w:r>
        <w:rPr>
          <w:rFonts w:hint="eastAsia" w:ascii="仿宋_GB2312" w:eastAsia="仿宋_GB2312"/>
          <w:sz w:val="32"/>
          <w:szCs w:val="32"/>
        </w:rPr>
        <w:t>。单价100万元以上设备（不含车辆）108台（套）。</w:t>
      </w:r>
    </w:p>
    <w:p w14:paraId="6C244050">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096064CE">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2CEA98B">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医疗成本费用预算项目（自有资金）</w:t>
      </w:r>
      <w:r>
        <w:rPr>
          <w:rFonts w:hint="eastAsia" w:ascii="仿宋_GB2312" w:eastAsia="仿宋_GB2312"/>
          <w:sz w:val="32"/>
          <w:szCs w:val="32"/>
        </w:rPr>
        <w:t>项目</w:t>
      </w:r>
      <w:r>
        <w:rPr>
          <w:rFonts w:hint="eastAsia" w:ascii="仿宋_GB2312" w:eastAsia="仿宋_GB2312"/>
          <w:sz w:val="32"/>
          <w:szCs w:val="32"/>
          <w:lang w:eastAsia="zh-CN"/>
        </w:rPr>
        <w:t>、人员经费预算项目（自有资金）、维修维护费预算项目</w:t>
      </w:r>
      <w:r>
        <w:rPr>
          <w:rFonts w:hint="eastAsia" w:ascii="仿宋_GB2312" w:eastAsia="仿宋_GB2312"/>
          <w:sz w:val="32"/>
          <w:szCs w:val="32"/>
          <w:lang w:val="en-US" w:eastAsia="zh-CN"/>
        </w:rPr>
        <w:t>-FS、招标采购预算项目（自有资金）、基建预算项目等5</w:t>
      </w:r>
      <w:r>
        <w:rPr>
          <w:rFonts w:hint="eastAsia" w:ascii="仿宋_GB2312" w:eastAsia="仿宋_GB2312"/>
          <w:sz w:val="32"/>
          <w:szCs w:val="32"/>
        </w:rPr>
        <w:t>个项目开展了预算事前绩效评估，对2023年优质高效医疗卫生服务体系建设工程中央基建投资</w:t>
      </w:r>
      <w:r>
        <w:rPr>
          <w:rFonts w:hint="eastAsia" w:ascii="仿宋_GB2312" w:eastAsia="仿宋_GB2312"/>
          <w:sz w:val="32"/>
          <w:szCs w:val="32"/>
          <w:lang w:eastAsia="zh-CN"/>
        </w:rPr>
        <w:t>、</w:t>
      </w:r>
      <w:r>
        <w:rPr>
          <w:rFonts w:hint="eastAsia" w:hAnsi="仿宋_GB2312" w:cs="仿宋_GB2312"/>
          <w:sz w:val="32"/>
          <w:szCs w:val="32"/>
        </w:rPr>
        <w:t>州本级单位缴费、州本级离退休医疗缴费、州本级离退休费支出、州本级</w:t>
      </w:r>
      <w:r>
        <w:rPr>
          <w:rFonts w:hint="eastAsia" w:hAnsi="仿宋_GB2312" w:cs="仿宋_GB2312"/>
          <w:sz w:val="32"/>
          <w:szCs w:val="32"/>
          <w:lang w:eastAsia="zh-CN"/>
        </w:rPr>
        <w:t>其他补助支出等</w:t>
      </w:r>
      <w:r>
        <w:rPr>
          <w:rFonts w:hint="eastAsia" w:ascii="仿宋_GB2312" w:eastAsia="仿宋_GB2312"/>
          <w:sz w:val="32"/>
          <w:szCs w:val="32"/>
          <w:lang w:val="en-US" w:eastAsia="zh-CN"/>
        </w:rPr>
        <w:t>33</w:t>
      </w:r>
      <w:r>
        <w:rPr>
          <w:rFonts w:hint="eastAsia" w:ascii="仿宋_GB2312" w:eastAsia="仿宋_GB2312"/>
          <w:sz w:val="32"/>
          <w:szCs w:val="32"/>
        </w:rPr>
        <w:t>个项目编制了绩效目标，预算执行过程中，</w:t>
      </w:r>
      <w:r>
        <w:rPr>
          <w:rFonts w:hint="eastAsia" w:ascii="仿宋_GB2312" w:eastAsia="仿宋_GB2312"/>
          <w:sz w:val="32"/>
          <w:szCs w:val="32"/>
          <w:lang w:eastAsia="zh-CN"/>
        </w:rPr>
        <w:t>对</w:t>
      </w:r>
      <w:r>
        <w:rPr>
          <w:rFonts w:hint="eastAsia" w:ascii="仿宋_GB2312" w:eastAsia="仿宋_GB2312"/>
          <w:sz w:val="32"/>
          <w:szCs w:val="32"/>
          <w:lang w:val="en-US" w:eastAsia="zh-CN"/>
        </w:rPr>
        <w:t>33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33</w:t>
      </w:r>
      <w:r>
        <w:rPr>
          <w:rFonts w:hint="eastAsia" w:ascii="仿宋_GB2312" w:eastAsia="仿宋_GB2312"/>
          <w:sz w:val="32"/>
          <w:szCs w:val="32"/>
        </w:rPr>
        <w:t>个项目开展绩效自评，绩效自评表详见第四部分附件。</w:t>
      </w:r>
    </w:p>
    <w:p w14:paraId="4CD46434">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7159C7E7">
      <w:pPr>
        <w:numPr>
          <w:ilvl w:val="0"/>
          <w:numId w:val="4"/>
        </w:numPr>
        <w:spacing w:line="600" w:lineRule="exact"/>
        <w:ind w:firstLine="660" w:firstLineChars="150"/>
        <w:jc w:val="center"/>
        <w:outlineLvl w:val="0"/>
        <w:rPr>
          <w:rStyle w:val="28"/>
          <w:rFonts w:ascii="黑体" w:hAnsi="黑体" w:eastAsia="黑体"/>
          <w:b w:val="0"/>
        </w:rPr>
      </w:pPr>
      <w:bookmarkStart w:id="72" w:name="_Toc15377225"/>
      <w:bookmarkStart w:id="73" w:name="_Toc15396613"/>
      <w:bookmarkStart w:id="74" w:name="_Toc26848"/>
      <w:r>
        <w:rPr>
          <w:rFonts w:hint="eastAsia" w:ascii="黑体" w:hAnsi="黑体" w:eastAsia="黑体"/>
          <w:sz w:val="44"/>
          <w:szCs w:val="44"/>
        </w:rPr>
        <w:t>名</w:t>
      </w:r>
      <w:r>
        <w:rPr>
          <w:rStyle w:val="28"/>
          <w:rFonts w:hint="eastAsia" w:ascii="黑体" w:hAnsi="黑体" w:eastAsia="黑体"/>
          <w:b w:val="0"/>
        </w:rPr>
        <w:t>词解释</w:t>
      </w:r>
      <w:bookmarkEnd w:id="72"/>
      <w:bookmarkEnd w:id="73"/>
      <w:bookmarkEnd w:id="74"/>
    </w:p>
    <w:p w14:paraId="504B7341">
      <w:pPr>
        <w:spacing w:line="600" w:lineRule="exact"/>
        <w:jc w:val="left"/>
        <w:rPr>
          <w:rFonts w:ascii="宋体"/>
          <w:b/>
          <w:sz w:val="44"/>
          <w:szCs w:val="44"/>
        </w:rPr>
      </w:pPr>
    </w:p>
    <w:p w14:paraId="6BE3AE2E">
      <w:pPr>
        <w:pStyle w:val="26"/>
        <w:spacing w:line="560" w:lineRule="exact"/>
        <w:ind w:firstLine="640" w:firstLineChars="200"/>
        <w:outlineLvl w:val="1"/>
        <w:rPr>
          <w:rFonts w:ascii="仿宋_GB2312" w:eastAsia="仿宋_GB2312"/>
          <w:color w:val="auto"/>
          <w:sz w:val="32"/>
          <w:szCs w:val="32"/>
          <w:highlight w:val="none"/>
        </w:rPr>
      </w:pPr>
      <w:bookmarkStart w:id="75" w:name="_Toc28233"/>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5"/>
    </w:p>
    <w:p w14:paraId="0852E8CE">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事业收入：指事业单位开展专业业务活动及辅助活动取得的收入。如医疗诊断、检查、检验、手术、护理等。</w:t>
      </w:r>
    </w:p>
    <w:p w14:paraId="37307A76">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0DB673C5">
      <w:pPr>
        <w:pStyle w:val="26"/>
        <w:spacing w:line="560" w:lineRule="exact"/>
        <w:ind w:firstLine="640" w:firstLineChars="200"/>
        <w:outlineLvl w:val="1"/>
        <w:rPr>
          <w:rFonts w:ascii="仿宋_GB2312" w:eastAsia="仿宋_GB2312"/>
          <w:color w:val="auto"/>
          <w:sz w:val="32"/>
          <w:szCs w:val="32"/>
          <w:highlight w:val="none"/>
        </w:rPr>
      </w:pPr>
      <w:bookmarkStart w:id="76" w:name="_Toc16317"/>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bookmarkEnd w:id="76"/>
      <w:r>
        <w:rPr>
          <w:rFonts w:ascii="仿宋_GB2312" w:eastAsia="仿宋_GB2312"/>
          <w:color w:val="auto"/>
          <w:sz w:val="32"/>
          <w:szCs w:val="32"/>
          <w:highlight w:val="none"/>
        </w:rPr>
        <w:t xml:space="preserve"> </w:t>
      </w:r>
    </w:p>
    <w:p w14:paraId="430ED54F">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rPr>
        <w:t>使用非财政拨款结余：指事业单位使用以前年度积累的非财政拨款结余弥补当年收支差额的金额。</w:t>
      </w:r>
      <w:r>
        <w:rPr>
          <w:rFonts w:ascii="仿宋_GB2312" w:eastAsia="仿宋_GB2312"/>
          <w:color w:val="auto"/>
          <w:sz w:val="32"/>
          <w:szCs w:val="32"/>
          <w:highlight w:val="none"/>
        </w:rPr>
        <w:t xml:space="preserve"> </w:t>
      </w:r>
    </w:p>
    <w:p w14:paraId="0A562236">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18E006A6">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结余分配：指事业单位按照会计制度规定缴纳的所得税、提取的专用结余以及转入非财政拨款结余的金额等。</w:t>
      </w:r>
    </w:p>
    <w:p w14:paraId="1AEB183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3A0A0D57">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.科学技术支出（类）技术研究与开发（款）其他技术研究与开发支出（项）: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从事技术开发研究和近期可望取得实用价值的</w:t>
      </w:r>
      <w:r>
        <w:rPr>
          <w:rFonts w:hint="eastAsia" w:ascii="仿宋_GB2312" w:eastAsia="仿宋_GB2312"/>
          <w:color w:val="auto"/>
          <w:sz w:val="32"/>
          <w:szCs w:val="32"/>
          <w:highlight w:val="none"/>
          <w:lang w:eastAsia="zh-CN"/>
        </w:rPr>
        <w:t>其他</w:t>
      </w:r>
      <w:r>
        <w:rPr>
          <w:rFonts w:hint="eastAsia" w:ascii="仿宋_GB2312" w:eastAsia="仿宋_GB2312"/>
          <w:color w:val="auto"/>
          <w:sz w:val="32"/>
          <w:szCs w:val="32"/>
          <w:highlight w:val="none"/>
        </w:rPr>
        <w:t>技术开发研究的支出</w:t>
      </w:r>
      <w:r>
        <w:rPr>
          <w:rFonts w:hint="eastAsia" w:ascii="仿宋_GB2312" w:eastAsia="仿宋_GB2312"/>
          <w:sz w:val="32"/>
          <w:szCs w:val="32"/>
        </w:rPr>
        <w:t>。</w:t>
      </w:r>
    </w:p>
    <w:p w14:paraId="0FDF71FC">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.社会保障和就业（类）人力资源和社会保障管理事务（款）其他人力资源和社会保障管理事务支出（项）: </w:t>
      </w:r>
      <w:r>
        <w:rPr>
          <w:rFonts w:hint="eastAsia" w:ascii="仿宋_GB2312" w:eastAsia="仿宋_GB2312"/>
          <w:sz w:val="32"/>
          <w:szCs w:val="32"/>
          <w:lang w:eastAsia="zh-CN"/>
        </w:rPr>
        <w:t>指</w:t>
      </w:r>
      <w:r>
        <w:rPr>
          <w:rFonts w:hint="eastAsia" w:ascii="仿宋_GB2312" w:eastAsia="仿宋_GB2312"/>
          <w:sz w:val="32"/>
          <w:szCs w:val="32"/>
        </w:rPr>
        <w:t>。</w:t>
      </w:r>
    </w:p>
    <w:p w14:paraId="418FAA65">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.社会保障和就业（类）行政事业单位养老支出（款）事业单位离退休（项）: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反映行政事业单位开支的离退休支出</w:t>
      </w:r>
      <w:r>
        <w:rPr>
          <w:rFonts w:hint="eastAsia" w:ascii="仿宋_GB2312" w:eastAsia="仿宋_GB2312"/>
          <w:sz w:val="32"/>
          <w:szCs w:val="32"/>
        </w:rPr>
        <w:t>。</w:t>
      </w:r>
    </w:p>
    <w:p w14:paraId="0C1829A5">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.社会保障和就业（类）行政事业单位养老支出（款）机关事业单位基本养老保险缴费支出（项）: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反映机关事业单位实施养老保险制度由单位缴纳的基本养老保险费支出</w:t>
      </w:r>
      <w:r>
        <w:rPr>
          <w:rFonts w:hint="eastAsia" w:ascii="仿宋_GB2312" w:eastAsia="仿宋_GB2312"/>
          <w:sz w:val="32"/>
          <w:szCs w:val="32"/>
        </w:rPr>
        <w:t>。</w:t>
      </w:r>
    </w:p>
    <w:p w14:paraId="5A2D1CE3">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.社会保障和就业（类）行政事业单位养老支出（款）机关事业单位职业年金缴费支出（项）: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反映机关事业单位实施养老保险制度由单位缴纳的职业年金支出</w:t>
      </w:r>
      <w:r>
        <w:rPr>
          <w:rFonts w:hint="eastAsia" w:ascii="仿宋_GB2312" w:eastAsia="仿宋_GB2312"/>
          <w:sz w:val="32"/>
          <w:szCs w:val="32"/>
        </w:rPr>
        <w:t>。</w:t>
      </w:r>
    </w:p>
    <w:p w14:paraId="2E5EFEBF">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.社会保障和就业（类）其他社会保障和就业支出（款）其他社会保障和就业支出（项）: </w:t>
      </w:r>
      <w:r>
        <w:rPr>
          <w:rFonts w:hint="eastAsia" w:ascii="仿宋_GB2312" w:eastAsia="仿宋_GB2312"/>
          <w:sz w:val="32"/>
          <w:szCs w:val="32"/>
          <w:lang w:eastAsia="zh-CN"/>
        </w:rPr>
        <w:t>指其他用于社会保障和就业方面的支出</w:t>
      </w:r>
      <w:r>
        <w:rPr>
          <w:rFonts w:hint="eastAsia" w:ascii="仿宋_GB2312" w:eastAsia="仿宋_GB2312"/>
          <w:sz w:val="32"/>
          <w:szCs w:val="32"/>
        </w:rPr>
        <w:t>。</w:t>
      </w:r>
    </w:p>
    <w:p w14:paraId="0C1CE133">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.卫生健康支出（类）公立医院（款）综合医院（项）: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w:t>
      </w:r>
      <w:r>
        <w:rPr>
          <w:rFonts w:hint="eastAsia" w:ascii="仿宋_GB2312" w:eastAsia="仿宋_GB2312"/>
          <w:color w:val="auto"/>
          <w:sz w:val="32"/>
          <w:szCs w:val="32"/>
          <w:highlight w:val="none"/>
          <w:lang w:eastAsia="zh-CN"/>
        </w:rPr>
        <w:t>卫生健康、中医部门</w:t>
      </w:r>
      <w:r>
        <w:rPr>
          <w:rFonts w:hint="eastAsia" w:ascii="仿宋_GB2312" w:eastAsia="仿宋_GB2312"/>
          <w:color w:val="auto"/>
          <w:sz w:val="32"/>
          <w:szCs w:val="32"/>
          <w:highlight w:val="none"/>
        </w:rPr>
        <w:t>所属</w:t>
      </w:r>
      <w:r>
        <w:rPr>
          <w:rFonts w:hint="eastAsia" w:ascii="仿宋_GB2312" w:eastAsia="仿宋_GB2312"/>
          <w:color w:val="auto"/>
          <w:sz w:val="32"/>
          <w:szCs w:val="32"/>
          <w:highlight w:val="none"/>
          <w:lang w:eastAsia="zh-CN"/>
        </w:rPr>
        <w:t>的城市</w:t>
      </w:r>
      <w:r>
        <w:rPr>
          <w:rFonts w:hint="eastAsia" w:ascii="仿宋_GB2312" w:eastAsia="仿宋_GB2312"/>
          <w:color w:val="auto"/>
          <w:sz w:val="32"/>
          <w:szCs w:val="32"/>
          <w:highlight w:val="none"/>
        </w:rPr>
        <w:t>综合性医院</w:t>
      </w:r>
      <w:r>
        <w:rPr>
          <w:rFonts w:hint="eastAsia" w:ascii="仿宋_GB2312" w:eastAsia="仿宋_GB2312"/>
          <w:color w:val="auto"/>
          <w:sz w:val="32"/>
          <w:szCs w:val="32"/>
          <w:highlight w:val="none"/>
          <w:lang w:eastAsia="zh-CN"/>
        </w:rPr>
        <w:t>、独立门诊、教学医院、疗养院和县医院的</w:t>
      </w:r>
      <w:r>
        <w:rPr>
          <w:rFonts w:hint="eastAsia" w:ascii="仿宋_GB2312" w:eastAsia="仿宋_GB2312"/>
          <w:color w:val="auto"/>
          <w:sz w:val="32"/>
          <w:szCs w:val="32"/>
          <w:highlight w:val="none"/>
        </w:rPr>
        <w:t>支出</w:t>
      </w:r>
      <w:r>
        <w:rPr>
          <w:rFonts w:hint="eastAsia" w:ascii="仿宋_GB2312" w:eastAsia="仿宋_GB2312"/>
          <w:sz w:val="32"/>
          <w:szCs w:val="32"/>
        </w:rPr>
        <w:t>。</w:t>
      </w:r>
    </w:p>
    <w:p w14:paraId="6D2B717F">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.卫生健康支出（类）公立医院（款）其他公立医院支出（项）: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w:t>
      </w:r>
      <w:r>
        <w:rPr>
          <w:rFonts w:hint="eastAsia" w:ascii="仿宋_GB2312" w:eastAsia="仿宋_GB2312"/>
          <w:color w:val="auto"/>
          <w:sz w:val="32"/>
          <w:szCs w:val="32"/>
          <w:highlight w:val="none"/>
          <w:lang w:eastAsia="zh-CN"/>
        </w:rPr>
        <w:t>其他用于公立医院</w:t>
      </w:r>
      <w:r>
        <w:rPr>
          <w:rFonts w:hint="eastAsia" w:ascii="仿宋_GB2312" w:eastAsia="仿宋_GB2312"/>
          <w:color w:val="auto"/>
          <w:sz w:val="32"/>
          <w:szCs w:val="32"/>
          <w:highlight w:val="none"/>
        </w:rPr>
        <w:t>方面的支出</w:t>
      </w:r>
      <w:r>
        <w:rPr>
          <w:rFonts w:hint="eastAsia" w:ascii="仿宋_GB2312" w:eastAsia="仿宋_GB2312"/>
          <w:sz w:val="32"/>
          <w:szCs w:val="32"/>
        </w:rPr>
        <w:t>。</w:t>
      </w:r>
    </w:p>
    <w:p w14:paraId="4356FF64">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.卫生健康支出（类）公共卫生（款）重大公共卫生服务（项）: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w:t>
      </w:r>
      <w:r>
        <w:rPr>
          <w:rFonts w:hint="eastAsia" w:ascii="仿宋_GB2312" w:eastAsia="仿宋_GB2312"/>
          <w:color w:val="auto"/>
          <w:sz w:val="32"/>
          <w:szCs w:val="32"/>
          <w:highlight w:val="none"/>
          <w:lang w:eastAsia="zh-CN"/>
        </w:rPr>
        <w:t>重大疾病、重大传染病预防控制等重大公共卫生服务项目</w:t>
      </w:r>
      <w:r>
        <w:rPr>
          <w:rFonts w:hint="eastAsia" w:ascii="仿宋_GB2312" w:eastAsia="仿宋_GB2312"/>
          <w:color w:val="auto"/>
          <w:sz w:val="32"/>
          <w:szCs w:val="32"/>
          <w:highlight w:val="none"/>
        </w:rPr>
        <w:t>支出</w:t>
      </w:r>
      <w:r>
        <w:rPr>
          <w:rFonts w:hint="eastAsia" w:ascii="仿宋_GB2312" w:eastAsia="仿宋_GB2312"/>
          <w:sz w:val="32"/>
          <w:szCs w:val="32"/>
        </w:rPr>
        <w:t>。</w:t>
      </w:r>
    </w:p>
    <w:p w14:paraId="2885BCB8">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.卫生健康支出（类）公共卫生（款）突发公共卫生事件应急处理（项）: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w:t>
      </w:r>
      <w:r>
        <w:rPr>
          <w:rFonts w:hint="eastAsia" w:ascii="仿宋_GB2312" w:eastAsia="仿宋_GB2312"/>
          <w:color w:val="auto"/>
          <w:sz w:val="32"/>
          <w:szCs w:val="32"/>
          <w:highlight w:val="none"/>
          <w:lang w:eastAsia="zh-CN"/>
        </w:rPr>
        <w:t>用于突发公共卫生事件应急处理</w:t>
      </w:r>
      <w:r>
        <w:rPr>
          <w:rFonts w:hint="eastAsia" w:ascii="仿宋_GB2312" w:eastAsia="仿宋_GB2312"/>
          <w:color w:val="auto"/>
          <w:sz w:val="32"/>
          <w:szCs w:val="32"/>
          <w:highlight w:val="none"/>
        </w:rPr>
        <w:t>的支出</w:t>
      </w:r>
      <w:r>
        <w:rPr>
          <w:rFonts w:hint="eastAsia" w:ascii="仿宋_GB2312" w:eastAsia="仿宋_GB2312"/>
          <w:sz w:val="32"/>
          <w:szCs w:val="32"/>
        </w:rPr>
        <w:t>。</w:t>
      </w:r>
    </w:p>
    <w:p w14:paraId="4891E535">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.卫生健康支出（类）公共卫生（款）其他公共卫生支出（项）: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w:t>
      </w:r>
      <w:r>
        <w:rPr>
          <w:rFonts w:hint="eastAsia" w:ascii="仿宋_GB2312" w:eastAsia="仿宋_GB2312"/>
          <w:color w:val="auto"/>
          <w:sz w:val="32"/>
          <w:szCs w:val="32"/>
          <w:highlight w:val="none"/>
          <w:lang w:eastAsia="zh-CN"/>
        </w:rPr>
        <w:t>其他用于公共卫生方面的</w:t>
      </w:r>
      <w:r>
        <w:rPr>
          <w:rFonts w:hint="eastAsia" w:ascii="仿宋_GB2312" w:eastAsia="仿宋_GB2312"/>
          <w:color w:val="auto"/>
          <w:sz w:val="32"/>
          <w:szCs w:val="32"/>
          <w:highlight w:val="none"/>
        </w:rPr>
        <w:t>支出</w:t>
      </w:r>
      <w:r>
        <w:rPr>
          <w:rFonts w:hint="eastAsia" w:ascii="仿宋_GB2312" w:eastAsia="仿宋_GB2312"/>
          <w:sz w:val="32"/>
          <w:szCs w:val="32"/>
        </w:rPr>
        <w:t>。</w:t>
      </w:r>
    </w:p>
    <w:p w14:paraId="345A657D">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.卫生健康支出（类）中医药（款）中医（民族医）药专项（项）: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w:t>
      </w:r>
      <w:r>
        <w:rPr>
          <w:rFonts w:hint="eastAsia" w:ascii="仿宋_GB2312" w:eastAsia="仿宋_GB2312"/>
          <w:sz w:val="32"/>
          <w:szCs w:val="32"/>
        </w:rPr>
        <w:t>中医（民族医）</w:t>
      </w:r>
      <w:r>
        <w:rPr>
          <w:rFonts w:hint="eastAsia" w:ascii="仿宋_GB2312" w:eastAsia="仿宋_GB2312"/>
          <w:sz w:val="32"/>
          <w:szCs w:val="32"/>
          <w:lang w:eastAsia="zh-CN"/>
        </w:rPr>
        <w:t>药方面的专项</w:t>
      </w:r>
      <w:r>
        <w:rPr>
          <w:rFonts w:hint="eastAsia" w:ascii="仿宋_GB2312" w:eastAsia="仿宋_GB2312"/>
          <w:color w:val="auto"/>
          <w:sz w:val="32"/>
          <w:szCs w:val="32"/>
          <w:highlight w:val="none"/>
        </w:rPr>
        <w:t>支出</w:t>
      </w:r>
      <w:r>
        <w:rPr>
          <w:rFonts w:hint="eastAsia" w:ascii="仿宋_GB2312" w:eastAsia="仿宋_GB2312"/>
          <w:sz w:val="32"/>
          <w:szCs w:val="32"/>
        </w:rPr>
        <w:t>。</w:t>
      </w:r>
    </w:p>
    <w:p w14:paraId="75127414">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rPr>
        <w:t>.卫生健康支出（类）行政事业单位医疗（款）其他行政事业单位医疗支出（项）: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反映单位为职工缴纳的</w:t>
      </w:r>
      <w:r>
        <w:rPr>
          <w:rFonts w:hint="eastAsia" w:ascii="仿宋_GB2312" w:eastAsia="仿宋_GB2312"/>
          <w:color w:val="auto"/>
          <w:sz w:val="32"/>
          <w:szCs w:val="32"/>
          <w:highlight w:val="none"/>
          <w:lang w:eastAsia="zh-CN"/>
        </w:rPr>
        <w:t>其他</w:t>
      </w:r>
      <w:r>
        <w:rPr>
          <w:rFonts w:hint="eastAsia" w:ascii="仿宋_GB2312" w:eastAsia="仿宋_GB2312"/>
          <w:color w:val="auto"/>
          <w:sz w:val="32"/>
          <w:szCs w:val="32"/>
          <w:highlight w:val="none"/>
        </w:rPr>
        <w:t>医疗保险费</w:t>
      </w:r>
      <w:r>
        <w:rPr>
          <w:rFonts w:hint="eastAsia" w:ascii="仿宋_GB2312" w:eastAsia="仿宋_GB2312"/>
          <w:sz w:val="32"/>
          <w:szCs w:val="32"/>
        </w:rPr>
        <w:t>。</w:t>
      </w:r>
    </w:p>
    <w:p w14:paraId="4D2C819A">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22</w:t>
      </w:r>
      <w:r>
        <w:rPr>
          <w:rFonts w:hint="eastAsia" w:ascii="仿宋_GB2312" w:eastAsia="仿宋_GB2312"/>
          <w:sz w:val="32"/>
          <w:szCs w:val="32"/>
        </w:rPr>
        <w:t>.卫生健康支出（类）其他卫生健康支出（款）其他卫生健康支出（项）: </w:t>
      </w:r>
      <w:r>
        <w:rPr>
          <w:rFonts w:hint="eastAsia" w:ascii="仿宋_GB2312" w:eastAsia="仿宋_GB2312"/>
          <w:sz w:val="32"/>
          <w:szCs w:val="32"/>
          <w:lang w:eastAsia="zh-CN"/>
        </w:rPr>
        <w:t>指</w:t>
      </w:r>
      <w:r>
        <w:rPr>
          <w:rFonts w:hint="eastAsia" w:ascii="仿宋_GB2312" w:eastAsia="仿宋_GB2312"/>
          <w:color w:val="auto"/>
          <w:sz w:val="32"/>
          <w:szCs w:val="32"/>
          <w:highlight w:val="none"/>
        </w:rPr>
        <w:t>反映</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委所属</w:t>
      </w:r>
      <w:r>
        <w:rPr>
          <w:rFonts w:hint="eastAsia" w:ascii="仿宋_GB2312" w:eastAsia="仿宋_GB2312"/>
          <w:color w:val="auto"/>
          <w:sz w:val="32"/>
          <w:szCs w:val="32"/>
          <w:highlight w:val="none"/>
          <w:lang w:eastAsia="zh-CN"/>
        </w:rPr>
        <w:t>医院</w:t>
      </w:r>
      <w:r>
        <w:rPr>
          <w:rFonts w:hint="eastAsia" w:ascii="仿宋_GB2312" w:eastAsia="仿宋_GB2312"/>
          <w:color w:val="auto"/>
          <w:sz w:val="32"/>
          <w:szCs w:val="32"/>
          <w:highlight w:val="none"/>
        </w:rPr>
        <w:t>开展</w:t>
      </w:r>
      <w:r>
        <w:rPr>
          <w:rFonts w:hint="eastAsia" w:ascii="仿宋_GB2312" w:eastAsia="仿宋_GB2312"/>
          <w:color w:val="auto"/>
          <w:sz w:val="32"/>
          <w:szCs w:val="32"/>
          <w:highlight w:val="none"/>
          <w:lang w:eastAsia="zh-CN"/>
        </w:rPr>
        <w:t>其他医疗活动方面的支出</w:t>
      </w:r>
      <w:r>
        <w:rPr>
          <w:rFonts w:hint="eastAsia" w:ascii="仿宋_GB2312" w:eastAsia="仿宋_GB2312"/>
          <w:sz w:val="32"/>
          <w:szCs w:val="32"/>
        </w:rPr>
        <w:t>。</w:t>
      </w:r>
    </w:p>
    <w:p w14:paraId="76786941">
      <w:pPr>
        <w:ind w:firstLine="640" w:firstLineChars="200"/>
        <w:rPr>
          <w:rFonts w:ascii="仿宋_GB2312" w:eastAsia="仿宋_GB2312"/>
          <w:sz w:val="32"/>
          <w:szCs w:val="32"/>
        </w:rPr>
      </w:pPr>
    </w:p>
    <w:p w14:paraId="6450EB92">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050ACED1">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3676A6EA">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6B4A0348">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6529BC8B">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87A34C6">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E78378C">
      <w:pPr>
        <w:pStyle w:val="26"/>
        <w:spacing w:line="560" w:lineRule="exact"/>
        <w:ind w:firstLine="640" w:firstLineChars="200"/>
        <w:rPr>
          <w:rFonts w:ascii="仿宋_GB2312" w:eastAsia="仿宋_GB2312" w:cs="黑体"/>
          <w:color w:val="auto"/>
          <w:sz w:val="32"/>
          <w:szCs w:val="32"/>
        </w:rPr>
      </w:pPr>
    </w:p>
    <w:p w14:paraId="66E2CB13">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445AF7FE">
      <w:pPr>
        <w:spacing w:line="600" w:lineRule="exact"/>
        <w:jc w:val="center"/>
        <w:outlineLvl w:val="0"/>
        <w:rPr>
          <w:rStyle w:val="28"/>
          <w:rFonts w:ascii="黑体" w:hAnsi="黑体" w:eastAsia="黑体"/>
          <w:b w:val="0"/>
        </w:rPr>
      </w:pPr>
      <w:bookmarkStart w:id="77" w:name="_Toc15377226"/>
      <w:r>
        <w:rPr>
          <w:rFonts w:ascii="宋体"/>
          <w:b/>
          <w:sz w:val="44"/>
          <w:szCs w:val="44"/>
        </w:rPr>
        <w:br w:type="page"/>
      </w:r>
      <w:bookmarkStart w:id="78" w:name="_Toc15396614"/>
      <w:bookmarkStart w:id="79" w:name="_Toc14148"/>
      <w:r>
        <w:rPr>
          <w:rFonts w:hint="eastAsia" w:ascii="黑体" w:hAnsi="黑体" w:eastAsia="黑体"/>
          <w:sz w:val="44"/>
          <w:szCs w:val="44"/>
        </w:rPr>
        <w:t>第</w:t>
      </w:r>
      <w:r>
        <w:rPr>
          <w:rStyle w:val="28"/>
          <w:rFonts w:hint="eastAsia" w:ascii="黑体" w:hAnsi="黑体" w:eastAsia="黑体"/>
          <w:b w:val="0"/>
        </w:rPr>
        <w:t>四部分 附件</w:t>
      </w:r>
      <w:bookmarkEnd w:id="78"/>
      <w:bookmarkEnd w:id="79"/>
    </w:p>
    <w:p w14:paraId="166441EB">
      <w:pPr>
        <w:spacing w:line="572" w:lineRule="exact"/>
        <w:jc w:val="left"/>
        <w:outlineLvl w:val="9"/>
        <w:rPr>
          <w:rFonts w:ascii="仿宋_GB2312" w:hAnsi="仿宋_GB2312" w:eastAsia="仿宋_GB2312" w:cs="仿宋_GB2312"/>
          <w:sz w:val="32"/>
          <w:szCs w:val="32"/>
        </w:rPr>
      </w:pPr>
    </w:p>
    <w:p w14:paraId="6E3B4F8C">
      <w:pPr>
        <w:spacing w:line="600" w:lineRule="exact"/>
        <w:jc w:val="center"/>
        <w:outlineLvl w:val="1"/>
        <w:rPr>
          <w:rFonts w:ascii="黑体" w:hAnsi="黑体" w:eastAsia="黑体"/>
          <w:color w:val="FF0000"/>
          <w:sz w:val="44"/>
          <w:szCs w:val="44"/>
        </w:rPr>
      </w:pPr>
      <w:bookmarkStart w:id="80" w:name="_Toc6715"/>
      <w:bookmarkStart w:id="81" w:name="_Toc15396618"/>
      <w:r>
        <w:rPr>
          <w:rFonts w:hint="eastAsia"/>
          <w:sz w:val="32"/>
          <w:szCs w:val="32"/>
        </w:rPr>
        <w:t>部门预算项目支出绩效自评表（2023年度）</w:t>
      </w:r>
      <w:bookmarkEnd w:id="80"/>
    </w:p>
    <w:p w14:paraId="2965B493">
      <w:pPr>
        <w:pStyle w:val="14"/>
        <w:spacing w:line="560" w:lineRule="exact"/>
        <w:ind w:left="0" w:leftChars="0" w:firstLine="640"/>
        <w:rPr>
          <w:sz w:val="32"/>
        </w:rPr>
      </w:pPr>
    </w:p>
    <w:p w14:paraId="45323C51">
      <w:pPr>
        <w:pStyle w:val="2"/>
        <w:spacing w:before="93"/>
        <w:rPr>
          <w:rFonts w:hAnsi="Calibri" w:cs="仿宋"/>
          <w:sz w:val="32"/>
          <w:szCs w:val="32"/>
        </w:rPr>
      </w:pPr>
    </w:p>
    <w:p w14:paraId="2CD1A027">
      <w:pPr>
        <w:pStyle w:val="2"/>
        <w:spacing w:before="93"/>
        <w:rPr>
          <w:rFonts w:hAnsi="Calibri" w:cs="仿宋"/>
          <w:sz w:val="32"/>
          <w:szCs w:val="32"/>
        </w:rPr>
      </w:pPr>
    </w:p>
    <w:p w14:paraId="1899357E">
      <w:pPr>
        <w:pStyle w:val="2"/>
        <w:spacing w:before="93"/>
        <w:rPr>
          <w:rFonts w:hAnsi="Calibri" w:cs="仿宋"/>
          <w:sz w:val="32"/>
          <w:szCs w:val="32"/>
        </w:rPr>
      </w:pPr>
    </w:p>
    <w:p w14:paraId="48E2D25B">
      <w:pPr>
        <w:pStyle w:val="2"/>
        <w:spacing w:before="93"/>
        <w:rPr>
          <w:rFonts w:hAnsi="Calibri" w:cs="仿宋"/>
          <w:sz w:val="32"/>
          <w:szCs w:val="32"/>
        </w:rPr>
      </w:pPr>
    </w:p>
    <w:p w14:paraId="70D2105B">
      <w:pPr>
        <w:pStyle w:val="2"/>
        <w:spacing w:before="93"/>
        <w:rPr>
          <w:rFonts w:hAnsi="Calibri" w:cs="仿宋"/>
          <w:sz w:val="32"/>
          <w:szCs w:val="32"/>
        </w:rPr>
      </w:pPr>
    </w:p>
    <w:p w14:paraId="363217A7">
      <w:pPr>
        <w:pStyle w:val="2"/>
        <w:spacing w:before="93"/>
        <w:rPr>
          <w:rFonts w:hAnsi="Calibri" w:cs="仿宋"/>
          <w:sz w:val="32"/>
          <w:szCs w:val="32"/>
        </w:rPr>
      </w:pPr>
    </w:p>
    <w:p w14:paraId="126DDA07">
      <w:pPr>
        <w:pStyle w:val="2"/>
        <w:spacing w:before="93"/>
        <w:rPr>
          <w:rFonts w:hAnsi="Calibri" w:cs="仿宋"/>
          <w:sz w:val="32"/>
          <w:szCs w:val="32"/>
        </w:rPr>
      </w:pPr>
    </w:p>
    <w:p w14:paraId="0A841B09">
      <w:pPr>
        <w:pStyle w:val="2"/>
        <w:spacing w:before="93"/>
        <w:rPr>
          <w:rFonts w:hAnsi="Calibri" w:cs="仿宋"/>
          <w:sz w:val="32"/>
          <w:szCs w:val="32"/>
        </w:rPr>
      </w:pPr>
    </w:p>
    <w:p w14:paraId="77997B13">
      <w:pPr>
        <w:pStyle w:val="2"/>
        <w:spacing w:before="93"/>
        <w:rPr>
          <w:rFonts w:hAnsi="Calibri" w:cs="仿宋"/>
          <w:sz w:val="32"/>
          <w:szCs w:val="32"/>
        </w:rPr>
      </w:pPr>
    </w:p>
    <w:p w14:paraId="1FBB2097">
      <w:pPr>
        <w:pStyle w:val="2"/>
        <w:spacing w:before="93"/>
        <w:rPr>
          <w:rFonts w:hAnsi="Calibri" w:cs="仿宋"/>
          <w:sz w:val="32"/>
          <w:szCs w:val="32"/>
        </w:rPr>
      </w:pPr>
    </w:p>
    <w:p w14:paraId="71403C9B">
      <w:pPr>
        <w:pStyle w:val="2"/>
        <w:spacing w:before="93"/>
        <w:rPr>
          <w:rFonts w:hAnsi="Calibri" w:cs="仿宋"/>
          <w:sz w:val="32"/>
          <w:szCs w:val="32"/>
        </w:rPr>
      </w:pPr>
    </w:p>
    <w:p w14:paraId="5B66BAF2">
      <w:pPr>
        <w:pStyle w:val="2"/>
        <w:spacing w:before="93"/>
        <w:rPr>
          <w:rFonts w:hAnsi="Calibri" w:cs="仿宋"/>
          <w:sz w:val="32"/>
          <w:szCs w:val="32"/>
        </w:rPr>
      </w:pPr>
    </w:p>
    <w:p w14:paraId="6804DF55">
      <w:pPr>
        <w:pStyle w:val="2"/>
        <w:spacing w:before="93"/>
        <w:rPr>
          <w:rFonts w:hAnsi="Calibri" w:cs="仿宋"/>
          <w:sz w:val="32"/>
          <w:szCs w:val="32"/>
        </w:rPr>
      </w:pPr>
    </w:p>
    <w:p w14:paraId="3111EFC2">
      <w:pPr>
        <w:pStyle w:val="2"/>
        <w:spacing w:before="93"/>
        <w:rPr>
          <w:rFonts w:hAnsi="Calibri" w:cs="仿宋"/>
          <w:sz w:val="32"/>
          <w:szCs w:val="32"/>
        </w:rPr>
      </w:pPr>
    </w:p>
    <w:p w14:paraId="2A9ED0FC">
      <w:pPr>
        <w:pStyle w:val="2"/>
        <w:spacing w:before="93"/>
        <w:rPr>
          <w:rFonts w:hAnsi="Calibri" w:cs="仿宋"/>
          <w:sz w:val="32"/>
          <w:szCs w:val="32"/>
        </w:rPr>
      </w:pPr>
    </w:p>
    <w:p w14:paraId="6D3E3A0B">
      <w:pPr>
        <w:pStyle w:val="2"/>
        <w:spacing w:before="93"/>
        <w:rPr>
          <w:rFonts w:hAnsi="Calibri" w:cs="仿宋"/>
          <w:sz w:val="32"/>
          <w:szCs w:val="32"/>
        </w:rPr>
      </w:pPr>
    </w:p>
    <w:p w14:paraId="754C3241">
      <w:pPr>
        <w:spacing w:line="600" w:lineRule="exact"/>
        <w:jc w:val="center"/>
        <w:outlineLvl w:val="0"/>
        <w:rPr>
          <w:rFonts w:ascii="仿宋" w:hAnsi="仿宋" w:eastAsia="仿宋"/>
        </w:rPr>
      </w:pPr>
      <w:bookmarkStart w:id="82" w:name="_Toc11556"/>
      <w:r>
        <w:rPr>
          <w:rFonts w:hint="eastAsia" w:ascii="黑体" w:hAnsi="黑体" w:eastAsia="黑体"/>
          <w:sz w:val="44"/>
          <w:szCs w:val="44"/>
        </w:rPr>
        <w:t>第</w:t>
      </w:r>
      <w:r>
        <w:rPr>
          <w:rStyle w:val="28"/>
          <w:rFonts w:hint="eastAsia" w:ascii="黑体" w:hAnsi="黑体" w:eastAsia="黑体"/>
          <w:b w:val="0"/>
        </w:rPr>
        <w:t>五部分 附表</w:t>
      </w:r>
      <w:bookmarkEnd w:id="77"/>
      <w:bookmarkEnd w:id="81"/>
      <w:bookmarkEnd w:id="82"/>
      <w:bookmarkStart w:id="83" w:name="_Toc15396619"/>
    </w:p>
    <w:p w14:paraId="0390D4A6">
      <w:pPr>
        <w:pStyle w:val="4"/>
        <w:rPr>
          <w:rFonts w:ascii="仿宋" w:hAnsi="仿宋" w:eastAsia="仿宋"/>
        </w:rPr>
      </w:pPr>
      <w:bookmarkStart w:id="84" w:name="_Toc14254"/>
      <w:r>
        <w:rPr>
          <w:rFonts w:hint="eastAsia" w:ascii="仿宋" w:hAnsi="仿宋" w:eastAsia="仿宋"/>
          <w:b w:val="0"/>
        </w:rPr>
        <w:t>一、收</w:t>
      </w:r>
      <w:r>
        <w:rPr>
          <w:rStyle w:val="29"/>
          <w:rFonts w:hint="eastAsia" w:ascii="仿宋" w:hAnsi="仿宋" w:eastAsia="仿宋"/>
          <w:b w:val="0"/>
          <w:bCs w:val="0"/>
        </w:rPr>
        <w:t>入支出决算总表</w:t>
      </w:r>
      <w:bookmarkEnd w:id="83"/>
      <w:bookmarkEnd w:id="84"/>
    </w:p>
    <w:p w14:paraId="1F8D9F26">
      <w:pPr>
        <w:pStyle w:val="4"/>
        <w:rPr>
          <w:rFonts w:ascii="仿宋" w:hAnsi="仿宋" w:eastAsia="仿宋"/>
        </w:rPr>
      </w:pPr>
      <w:bookmarkStart w:id="85" w:name="_Toc15396620"/>
      <w:bookmarkStart w:id="86" w:name="_Toc10796"/>
      <w:r>
        <w:rPr>
          <w:rFonts w:hint="eastAsia" w:ascii="仿宋" w:hAnsi="仿宋" w:eastAsia="仿宋"/>
          <w:b w:val="0"/>
        </w:rPr>
        <w:t>二、收</w:t>
      </w:r>
      <w:r>
        <w:rPr>
          <w:rStyle w:val="29"/>
          <w:rFonts w:hint="eastAsia" w:ascii="仿宋" w:hAnsi="仿宋" w:eastAsia="仿宋"/>
          <w:b w:val="0"/>
          <w:bCs w:val="0"/>
        </w:rPr>
        <w:t>入决算表</w:t>
      </w:r>
      <w:bookmarkEnd w:id="85"/>
      <w:bookmarkEnd w:id="86"/>
    </w:p>
    <w:p w14:paraId="68227180">
      <w:pPr>
        <w:pStyle w:val="4"/>
        <w:rPr>
          <w:rFonts w:ascii="仿宋" w:hAnsi="仿宋" w:eastAsia="仿宋"/>
        </w:rPr>
      </w:pPr>
      <w:bookmarkStart w:id="87" w:name="_Toc15396621"/>
      <w:bookmarkStart w:id="88" w:name="_Toc1857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7"/>
      <w:bookmarkEnd w:id="88"/>
    </w:p>
    <w:p w14:paraId="7D9965DA">
      <w:pPr>
        <w:pStyle w:val="4"/>
        <w:rPr>
          <w:rFonts w:ascii="仿宋" w:hAnsi="仿宋" w:eastAsia="仿宋"/>
          <w:b w:val="0"/>
        </w:rPr>
      </w:pPr>
      <w:bookmarkStart w:id="89" w:name="_Toc15396622"/>
      <w:bookmarkStart w:id="90" w:name="_Toc18264"/>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9"/>
      <w:bookmarkEnd w:id="90"/>
    </w:p>
    <w:p w14:paraId="31D02D66">
      <w:pPr>
        <w:pStyle w:val="4"/>
        <w:rPr>
          <w:rStyle w:val="29"/>
          <w:rFonts w:ascii="仿宋" w:hAnsi="仿宋" w:eastAsia="仿宋"/>
          <w:b w:val="0"/>
          <w:bCs w:val="0"/>
        </w:rPr>
      </w:pPr>
      <w:bookmarkStart w:id="91" w:name="_Toc15396623"/>
      <w:bookmarkStart w:id="92" w:name="_Toc19177"/>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91"/>
      <w:bookmarkEnd w:id="92"/>
      <w:bookmarkStart w:id="93" w:name="_Toc15396624"/>
    </w:p>
    <w:p w14:paraId="05D6F157">
      <w:pPr>
        <w:pStyle w:val="4"/>
        <w:rPr>
          <w:rFonts w:ascii="仿宋" w:hAnsi="仿宋" w:eastAsia="仿宋"/>
        </w:rPr>
      </w:pPr>
      <w:bookmarkStart w:id="94" w:name="_Toc22331"/>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93"/>
      <w:bookmarkEnd w:id="94"/>
    </w:p>
    <w:p w14:paraId="77E36E87">
      <w:pPr>
        <w:pStyle w:val="4"/>
        <w:rPr>
          <w:rFonts w:ascii="仿宋" w:hAnsi="仿宋" w:eastAsia="仿宋"/>
        </w:rPr>
      </w:pPr>
      <w:bookmarkStart w:id="95" w:name="_Toc15396625"/>
      <w:bookmarkStart w:id="96" w:name="_Toc26726"/>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5"/>
      <w:bookmarkEnd w:id="96"/>
    </w:p>
    <w:p w14:paraId="6DFC2325">
      <w:pPr>
        <w:pStyle w:val="4"/>
        <w:rPr>
          <w:rFonts w:ascii="仿宋" w:hAnsi="仿宋" w:eastAsia="仿宋"/>
        </w:rPr>
      </w:pPr>
      <w:bookmarkStart w:id="97" w:name="_Toc15396626"/>
      <w:bookmarkStart w:id="98" w:name="_Toc24818"/>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7"/>
      <w:bookmarkEnd w:id="98"/>
    </w:p>
    <w:p w14:paraId="080AE0C3">
      <w:pPr>
        <w:pStyle w:val="4"/>
        <w:rPr>
          <w:rFonts w:ascii="仿宋" w:hAnsi="仿宋" w:eastAsia="仿宋"/>
        </w:rPr>
      </w:pPr>
      <w:bookmarkStart w:id="99" w:name="_Toc15396627"/>
      <w:bookmarkStart w:id="100" w:name="_Toc18388"/>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9"/>
      <w:bookmarkEnd w:id="100"/>
    </w:p>
    <w:p w14:paraId="0DDFDF00">
      <w:pPr>
        <w:pStyle w:val="4"/>
        <w:rPr>
          <w:rFonts w:ascii="仿宋" w:hAnsi="仿宋" w:eastAsia="仿宋"/>
        </w:rPr>
      </w:pPr>
      <w:bookmarkStart w:id="101" w:name="_Toc15396628"/>
      <w:bookmarkStart w:id="102" w:name="_Toc25480"/>
      <w:r>
        <w:rPr>
          <w:rStyle w:val="29"/>
          <w:rFonts w:hint="eastAsia" w:ascii="仿宋" w:hAnsi="仿宋" w:eastAsia="仿宋"/>
          <w:b w:val="0"/>
          <w:bCs w:val="0"/>
        </w:rPr>
        <w:t>十、</w:t>
      </w:r>
      <w:bookmarkEnd w:id="101"/>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02"/>
    </w:p>
    <w:p w14:paraId="161D74EB">
      <w:pPr>
        <w:pStyle w:val="4"/>
        <w:rPr>
          <w:rFonts w:ascii="仿宋" w:hAnsi="仿宋" w:eastAsia="仿宋"/>
        </w:rPr>
      </w:pPr>
      <w:bookmarkStart w:id="103" w:name="_Toc15396629"/>
      <w:bookmarkStart w:id="104" w:name="_Toc6547"/>
      <w:r>
        <w:rPr>
          <w:rStyle w:val="29"/>
          <w:rFonts w:hint="eastAsia" w:ascii="仿宋" w:hAnsi="仿宋" w:eastAsia="仿宋"/>
          <w:b w:val="0"/>
          <w:bCs w:val="0"/>
        </w:rPr>
        <w:t>十一、</w:t>
      </w:r>
      <w:bookmarkEnd w:id="103"/>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04"/>
    </w:p>
    <w:p w14:paraId="53F0ABA8">
      <w:pPr>
        <w:pStyle w:val="4"/>
        <w:rPr>
          <w:rFonts w:ascii="仿宋" w:hAnsi="仿宋" w:eastAsia="仿宋"/>
        </w:rPr>
      </w:pPr>
      <w:bookmarkStart w:id="105" w:name="_Toc15396630"/>
      <w:bookmarkStart w:id="106" w:name="_Toc11632"/>
      <w:r>
        <w:rPr>
          <w:rStyle w:val="29"/>
          <w:rFonts w:hint="eastAsia" w:ascii="仿宋" w:hAnsi="仿宋" w:eastAsia="仿宋"/>
          <w:b w:val="0"/>
          <w:bCs w:val="0"/>
        </w:rPr>
        <w:t>十二、</w:t>
      </w:r>
      <w:bookmarkEnd w:id="105"/>
      <w:r>
        <w:rPr>
          <w:rStyle w:val="29"/>
          <w:rFonts w:hint="eastAsia" w:ascii="仿宋" w:hAnsi="仿宋" w:eastAsia="仿宋"/>
          <w:b w:val="0"/>
          <w:bCs w:val="0"/>
        </w:rPr>
        <w:t>国有资本经营预算财政拨款支出决算表</w:t>
      </w:r>
      <w:bookmarkEnd w:id="106"/>
    </w:p>
    <w:p w14:paraId="1BB4E589">
      <w:pPr>
        <w:pStyle w:val="4"/>
        <w:rPr>
          <w:rFonts w:eastAsia="仿宋"/>
        </w:rPr>
      </w:pPr>
      <w:bookmarkStart w:id="107" w:name="_Toc15396631"/>
      <w:bookmarkStart w:id="108" w:name="_Toc7051"/>
      <w:r>
        <w:rPr>
          <w:rStyle w:val="29"/>
          <w:rFonts w:hint="eastAsia" w:ascii="仿宋" w:hAnsi="仿宋" w:eastAsia="仿宋"/>
          <w:b w:val="0"/>
          <w:bCs w:val="0"/>
        </w:rPr>
        <w:t>十三、</w:t>
      </w:r>
      <w:bookmarkEnd w:id="107"/>
      <w:r>
        <w:rPr>
          <w:rStyle w:val="29"/>
          <w:rFonts w:hint="eastAsia" w:ascii="仿宋" w:hAnsi="仿宋" w:eastAsia="仿宋"/>
          <w:b w:val="0"/>
          <w:bCs w:val="0"/>
        </w:rPr>
        <w:t>财政拨款“三公”经费支出决算表</w:t>
      </w:r>
      <w:bookmarkEnd w:id="10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0D6097-83C1-4E08-BBA2-C278E532F3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A82B94B-E96F-4A07-8FF4-248C54DCE8E8}"/>
  </w:font>
  <w:font w:name="Cambria">
    <w:panose1 w:val="02040503050406030204"/>
    <w:charset w:val="00"/>
    <w:family w:val="roman"/>
    <w:pitch w:val="default"/>
    <w:sig w:usb0="E00002FF" w:usb1="400004FF" w:usb2="00000000" w:usb3="00000000" w:csb0="2000019F" w:csb1="00000000"/>
    <w:embedRegular r:id="rId3" w:fontKey="{F3765A62-619B-4582-BE04-E12686626DF7}"/>
  </w:font>
  <w:font w:name="仿宋_GB2312">
    <w:panose1 w:val="02010609030101010101"/>
    <w:charset w:val="86"/>
    <w:family w:val="auto"/>
    <w:pitch w:val="default"/>
    <w:sig w:usb0="00000001" w:usb1="080E0000" w:usb2="00000000" w:usb3="00000000" w:csb0="00040000" w:csb1="00000000"/>
    <w:embedRegular r:id="rId4" w:fontKey="{8F028477-A4B9-44E3-8B74-42AEFCCD92C2}"/>
  </w:font>
  <w:font w:name="仿宋">
    <w:panose1 w:val="02010609060101010101"/>
    <w:charset w:val="86"/>
    <w:family w:val="auto"/>
    <w:pitch w:val="default"/>
    <w:sig w:usb0="800002BF" w:usb1="38CF7CFA" w:usb2="00000016" w:usb3="00000000" w:csb0="00040001" w:csb1="00000000"/>
    <w:embedRegular r:id="rId5" w:fontKey="{D362A8E7-4ABA-49F4-BD6C-46465758BABC}"/>
  </w:font>
  <w:font w:name="方正小标宋简体">
    <w:panose1 w:val="02000000000000000000"/>
    <w:charset w:val="86"/>
    <w:family w:val="script"/>
    <w:pitch w:val="default"/>
    <w:sig w:usb0="00000001" w:usb1="08000000" w:usb2="00000000" w:usb3="00000000" w:csb0="00040000" w:csb1="00000000"/>
    <w:embedRegular r:id="rId6" w:fontKey="{F00770C6-246A-450A-AA6C-8AA85508B1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125F26F">
        <w:pPr>
          <w:pStyle w:val="9"/>
          <w:jc w:val="center"/>
        </w:pPr>
        <w:r>
          <w:fldChar w:fldCharType="begin"/>
        </w:r>
        <w:r>
          <w:instrText xml:space="preserve">PAGE   \* MERGEFORMAT</w:instrText>
        </w:r>
        <w:r>
          <w:fldChar w:fldCharType="separate"/>
        </w:r>
        <w:r>
          <w:rPr>
            <w:lang w:val="zh-CN"/>
          </w:rPr>
          <w:t>15</w:t>
        </w:r>
        <w:r>
          <w:fldChar w:fldCharType="end"/>
        </w:r>
      </w:p>
    </w:sdtContent>
  </w:sdt>
  <w:p w14:paraId="0E86584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5CC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OWViN2EwYmNjYTRhY2RjNTNlYzc2YjQ2MmM0Y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279E"/>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F0067"/>
    <w:rsid w:val="03DC2831"/>
    <w:rsid w:val="061F2A86"/>
    <w:rsid w:val="069B21F6"/>
    <w:rsid w:val="081B5E94"/>
    <w:rsid w:val="0A2032A3"/>
    <w:rsid w:val="0B8A37D8"/>
    <w:rsid w:val="0F5FFB2F"/>
    <w:rsid w:val="0FFFCF60"/>
    <w:rsid w:val="10C055FF"/>
    <w:rsid w:val="118107EC"/>
    <w:rsid w:val="11DD6519"/>
    <w:rsid w:val="13617E02"/>
    <w:rsid w:val="148F5B6D"/>
    <w:rsid w:val="16BB723D"/>
    <w:rsid w:val="17CD3946"/>
    <w:rsid w:val="18015F3F"/>
    <w:rsid w:val="1BE8440E"/>
    <w:rsid w:val="1D155CEE"/>
    <w:rsid w:val="1D3A7D4E"/>
    <w:rsid w:val="1FDBBF84"/>
    <w:rsid w:val="20F57F95"/>
    <w:rsid w:val="240371BF"/>
    <w:rsid w:val="2476535F"/>
    <w:rsid w:val="24CF521F"/>
    <w:rsid w:val="25711CC6"/>
    <w:rsid w:val="25C741E6"/>
    <w:rsid w:val="276F80C0"/>
    <w:rsid w:val="27842671"/>
    <w:rsid w:val="29FD04D3"/>
    <w:rsid w:val="2ABE7A3E"/>
    <w:rsid w:val="2AFF09B6"/>
    <w:rsid w:val="2BA41BB5"/>
    <w:rsid w:val="2CA234A8"/>
    <w:rsid w:val="2EFA178C"/>
    <w:rsid w:val="2EFDF86C"/>
    <w:rsid w:val="2F9D17E1"/>
    <w:rsid w:val="30B46D73"/>
    <w:rsid w:val="319F7F4E"/>
    <w:rsid w:val="356A28F1"/>
    <w:rsid w:val="357C035A"/>
    <w:rsid w:val="3624775F"/>
    <w:rsid w:val="368E000D"/>
    <w:rsid w:val="383D272C"/>
    <w:rsid w:val="39AE70AB"/>
    <w:rsid w:val="3A4DCE41"/>
    <w:rsid w:val="3BCB56FA"/>
    <w:rsid w:val="3C0C0783"/>
    <w:rsid w:val="3C7C7D85"/>
    <w:rsid w:val="3DD612D6"/>
    <w:rsid w:val="3EE7C2F4"/>
    <w:rsid w:val="3F371B56"/>
    <w:rsid w:val="3F792ED8"/>
    <w:rsid w:val="3F9F3A96"/>
    <w:rsid w:val="3FECA4B2"/>
    <w:rsid w:val="3FF58C48"/>
    <w:rsid w:val="41061B71"/>
    <w:rsid w:val="42FF6694"/>
    <w:rsid w:val="43340C18"/>
    <w:rsid w:val="44C879E9"/>
    <w:rsid w:val="48BF60AB"/>
    <w:rsid w:val="493C27E9"/>
    <w:rsid w:val="49685368"/>
    <w:rsid w:val="496F39ED"/>
    <w:rsid w:val="49EF1EDA"/>
    <w:rsid w:val="49FF41D3"/>
    <w:rsid w:val="4BE068DB"/>
    <w:rsid w:val="4BF6002B"/>
    <w:rsid w:val="4BFFC6BE"/>
    <w:rsid w:val="4ECE2238"/>
    <w:rsid w:val="50506965"/>
    <w:rsid w:val="50A27271"/>
    <w:rsid w:val="51DB4B86"/>
    <w:rsid w:val="51F64DB0"/>
    <w:rsid w:val="55333C3E"/>
    <w:rsid w:val="555111B5"/>
    <w:rsid w:val="570D462C"/>
    <w:rsid w:val="59CB6A71"/>
    <w:rsid w:val="5A677E93"/>
    <w:rsid w:val="5D016EBB"/>
    <w:rsid w:val="5F67802D"/>
    <w:rsid w:val="5F7DC4F2"/>
    <w:rsid w:val="5FB36814"/>
    <w:rsid w:val="5FBB8E56"/>
    <w:rsid w:val="5FFB5535"/>
    <w:rsid w:val="60AF54BB"/>
    <w:rsid w:val="63283E1E"/>
    <w:rsid w:val="64CA39A1"/>
    <w:rsid w:val="67AD43E4"/>
    <w:rsid w:val="69630ADE"/>
    <w:rsid w:val="69BD5F13"/>
    <w:rsid w:val="69FB0B4B"/>
    <w:rsid w:val="6BFFE1FB"/>
    <w:rsid w:val="6C4A05C8"/>
    <w:rsid w:val="6D3B1A89"/>
    <w:rsid w:val="6DB7D8A3"/>
    <w:rsid w:val="6EC78701"/>
    <w:rsid w:val="6F7A5481"/>
    <w:rsid w:val="6FFE07A9"/>
    <w:rsid w:val="71505E4E"/>
    <w:rsid w:val="71BF4EC2"/>
    <w:rsid w:val="721C3014"/>
    <w:rsid w:val="72734D90"/>
    <w:rsid w:val="737871FE"/>
    <w:rsid w:val="73E75B71"/>
    <w:rsid w:val="7412278C"/>
    <w:rsid w:val="75DDCDA9"/>
    <w:rsid w:val="75FF44B1"/>
    <w:rsid w:val="77670518"/>
    <w:rsid w:val="777FA627"/>
    <w:rsid w:val="77B01F48"/>
    <w:rsid w:val="77DF1B5F"/>
    <w:rsid w:val="77EF2D9D"/>
    <w:rsid w:val="79AD6A52"/>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8"/>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4180;&#24230;&#19978;&#25253;&#36164;&#26009;\&#39044;&#12289;&#20915;&#31639;&#20844;&#24320;&#36164;&#26009;\&#24030;&#19968;&#21307;&#38498;\2023&#24180;&#24030;&#19968;&#21307;&#38498;&#20915;&#31639;&#20844;&#24320;\&#24037;&#20316;&#3180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4180;&#24230;&#19978;&#25253;&#36164;&#26009;\&#39044;&#12289;&#20915;&#31639;&#20844;&#24320;&#36164;&#26009;\&#24030;&#19968;&#21307;&#38498;\2023&#24180;&#24030;&#19968;&#21307;&#38498;&#20915;&#31639;&#20844;&#24320;\&#24037;&#20316;&#3180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4180;&#24230;&#19978;&#25253;&#36164;&#26009;\&#39044;&#12289;&#20915;&#31639;&#20844;&#24320;&#36164;&#26009;\&#24030;&#19968;&#21307;&#38498;\2023&#24180;&#24030;&#19968;&#21307;&#38498;&#20915;&#31639;&#20844;&#24320;\&#24037;&#20316;&#3180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4180;&#24230;&#19978;&#25253;&#36164;&#26009;\&#39044;&#12289;&#20915;&#31639;&#20844;&#24320;&#36164;&#26009;\&#24030;&#19968;&#21307;&#38498;\2023&#24180;&#24030;&#19968;&#21307;&#38498;&#20915;&#31639;&#20844;&#24320;\&#24037;&#20316;&#3180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24180;&#24230;&#19978;&#25253;&#36164;&#26009;\&#39044;&#12289;&#20915;&#31639;&#20844;&#24320;&#36164;&#26009;\&#24030;&#19968;&#21307;&#38498;\2023&#24180;&#24030;&#19968;&#21307;&#38498;&#20915;&#31639;&#20844;&#24320;\&#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24180;&#24230;&#19978;&#25253;&#36164;&#26009;\&#39044;&#12289;&#20915;&#31639;&#20844;&#24320;&#36164;&#26009;\&#24030;&#19968;&#21307;&#38498;\2023&#24180;&#24030;&#19968;&#21307;&#38498;&#20915;&#31639;&#20844;&#24320;\&#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Pt>
            <c:idx val="1"/>
            <c:invertIfNegative val="0"/>
            <c:bubble3D val="0"/>
            <c:spPr>
              <a:solidFill>
                <a:schemeClr val="accent1"/>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[工作簿1.xlsx]Sheet1!$A$2:$A$3</c:f>
              <c:strCache>
                <c:ptCount val="2"/>
                <c:pt idx="0">
                  <c:v>2023年</c:v>
                </c:pt>
                <c:pt idx="1">
                  <c:v>2022年</c:v>
                </c:pt>
              </c:strCache>
            </c:strRef>
          </c:cat>
          <c:val>
            <c:numRef>
              <c:f>[工作簿1.xlsx]Sheet1!$B$2:$B$3</c:f>
              <c:numCache>
                <c:formatCode>General</c:formatCode>
                <c:ptCount val="2"/>
                <c:pt idx="0">
                  <c:v>136156.89</c:v>
                </c:pt>
                <c:pt idx="1">
                  <c:v>120247.22</c:v>
                </c:pt>
              </c:numCache>
            </c:numRef>
          </c:val>
        </c:ser>
        <c:dLbls>
          <c:showLegendKey val="0"/>
          <c:showVal val="1"/>
          <c:showCatName val="0"/>
          <c:showSerName val="0"/>
          <c:showPercent val="0"/>
          <c:showBubbleSize val="0"/>
        </c:dLbls>
        <c:gapWidth val="246"/>
        <c:overlap val="-28"/>
        <c:axId val="23219853"/>
        <c:axId val="412703566"/>
      </c:barChart>
      <c:catAx>
        <c:axId val="232198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703566"/>
        <c:crosses val="autoZero"/>
        <c:auto val="1"/>
        <c:lblAlgn val="ctr"/>
        <c:lblOffset val="100"/>
        <c:noMultiLvlLbl val="0"/>
      </c:catAx>
      <c:valAx>
        <c:axId val="41270356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2198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solidFill>
                <a:latin typeface="+mn-lt"/>
                <a:ea typeface="+mn-ea"/>
                <a:cs typeface="+mn-cs"/>
              </a:defRPr>
            </a:pPr>
            <a:r>
              <a:rPr>
                <a:solidFill>
                  <a:schemeClr val="tx1"/>
                </a:solidFill>
              </a:rPr>
              <a:t>收入决算结构</a:t>
            </a:r>
            <a:endParaRPr>
              <a:solidFill>
                <a:schemeClr val="tx1"/>
              </a:solidFill>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04605263157895"/>
                  <c:y val="0.041666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26315789473684"/>
                  <c:y val="-0.093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211184210526316"/>
                  <c:y val="0.072916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[工作簿1.xlsx]Sheet2!$A$1:$A$3</c:f>
              <c:strCache>
                <c:ptCount val="3"/>
                <c:pt idx="0">
                  <c:v>一般公共预算财政拨款收入</c:v>
                </c:pt>
                <c:pt idx="1">
                  <c:v>事业收入</c:v>
                </c:pt>
                <c:pt idx="2">
                  <c:v>其他收入</c:v>
                </c:pt>
              </c:strCache>
            </c:strRef>
          </c:cat>
          <c:val>
            <c:numRef>
              <c:f>[工作簿1.xlsx]Sheet2!$B$1:$B$3</c:f>
              <c:numCache>
                <c:formatCode>#,##0.00</c:formatCode>
                <c:ptCount val="3"/>
                <c:pt idx="0">
                  <c:v>25298.86</c:v>
                </c:pt>
                <c:pt idx="1">
                  <c:v>104045.08</c:v>
                </c:pt>
                <c:pt idx="2">
                  <c:v>1253.78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158063413497121"/>
                  <c:y val="-0.13452051144559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881696417328579"/>
                  <c:y val="0.068657322060978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[工作簿1.xlsx]Sheet3!$A$1:$A$2</c:f>
              <c:strCache>
                <c:ptCount val="2"/>
                <c:pt idx="0" c:formatCode="#,##0.000000">
                  <c:v>基本支出</c:v>
                </c:pt>
                <c:pt idx="1" c:formatCode="#,##0.000000">
                  <c:v>项目支出</c:v>
                </c:pt>
              </c:strCache>
            </c:strRef>
          </c:cat>
          <c:val>
            <c:numRef>
              <c:f>[工作簿1.xlsx]Sheet3!$B$1:$B$2</c:f>
              <c:numCache>
                <c:formatCode>#,##0.00</c:formatCode>
                <c:ptCount val="2"/>
                <c:pt idx="0">
                  <c:v>112887.27</c:v>
                </c:pt>
                <c:pt idx="1">
                  <c:v>23269.62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a:t>
            </a:r>
          </a:p>
        </c:rich>
      </c:tx>
      <c:layout/>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Pt>
            <c:idx val="1"/>
            <c:invertIfNegative val="0"/>
            <c:bubble3D val="0"/>
            <c:spPr>
              <a:solidFill>
                <a:schemeClr val="accent1"/>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[工作簿1.xlsx]Sheet4!$A$2:$A$3</c:f>
              <c:strCache>
                <c:ptCount val="2"/>
                <c:pt idx="0">
                  <c:v>2023年</c:v>
                </c:pt>
                <c:pt idx="1">
                  <c:v>2022年</c:v>
                </c:pt>
              </c:strCache>
            </c:strRef>
          </c:cat>
          <c:val>
            <c:numRef>
              <c:f>[工作簿1.xlsx]Sheet4!$B$2:$B$3</c:f>
              <c:numCache>
                <c:formatCode>#,##0.00</c:formatCode>
                <c:ptCount val="2"/>
                <c:pt idx="0">
                  <c:v>25298.86</c:v>
                </c:pt>
                <c:pt idx="1" c:formatCode="General">
                  <c:v>9725.52</c:v>
                </c:pt>
              </c:numCache>
            </c:numRef>
          </c:val>
        </c:ser>
        <c:dLbls>
          <c:showLegendKey val="0"/>
          <c:showVal val="1"/>
          <c:showCatName val="0"/>
          <c:showSerName val="0"/>
          <c:showPercent val="0"/>
          <c:showBubbleSize val="0"/>
        </c:dLbls>
        <c:gapWidth val="246"/>
        <c:overlap val="-28"/>
        <c:axId val="390402856"/>
        <c:axId val="62536264"/>
      </c:barChart>
      <c:catAx>
        <c:axId val="390402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536264"/>
        <c:crosses val="autoZero"/>
        <c:auto val="1"/>
        <c:lblAlgn val="ctr"/>
        <c:lblOffset val="100"/>
        <c:noMultiLvlLbl val="0"/>
      </c:catAx>
      <c:valAx>
        <c:axId val="62536264"/>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04028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manualLayout>
          <c:xMode val="edge"/>
          <c:yMode val="edge"/>
          <c:x val="0.182679971489665"/>
          <c:y val="0.0406797116374871"/>
        </c:manualLayout>
      </c:layout>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Pt>
            <c:idx val="1"/>
            <c:invertIfNegative val="0"/>
            <c:bubble3D val="0"/>
            <c:spPr>
              <a:solidFill>
                <a:schemeClr val="accent1"/>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[工作簿1.xlsx]Sheet4!$A$2:$A$3</c:f>
              <c:strCache>
                <c:ptCount val="2"/>
                <c:pt idx="0">
                  <c:v>2023年</c:v>
                </c:pt>
                <c:pt idx="1">
                  <c:v>2022年</c:v>
                </c:pt>
              </c:strCache>
            </c:strRef>
          </c:cat>
          <c:val>
            <c:numRef>
              <c:f>[工作簿1.xlsx]Sheet4!$B$2:$B$3</c:f>
              <c:numCache>
                <c:formatCode>#,##0.00</c:formatCode>
                <c:ptCount val="2"/>
                <c:pt idx="0">
                  <c:v>25298.86</c:v>
                </c:pt>
                <c:pt idx="1" c:formatCode="General">
                  <c:v>9725.52</c:v>
                </c:pt>
              </c:numCache>
            </c:numRef>
          </c:val>
        </c:ser>
        <c:dLbls>
          <c:showLegendKey val="0"/>
          <c:showVal val="1"/>
          <c:showCatName val="0"/>
          <c:showSerName val="0"/>
          <c:showPercent val="0"/>
          <c:showBubbleSize val="0"/>
        </c:dLbls>
        <c:gapWidth val="246"/>
        <c:overlap val="-28"/>
        <c:axId val="390402856"/>
        <c:axId val="62536264"/>
      </c:barChart>
      <c:catAx>
        <c:axId val="390402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536264"/>
        <c:crosses val="autoZero"/>
        <c:auto val="1"/>
        <c:lblAlgn val="ctr"/>
        <c:lblOffset val="100"/>
        <c:noMultiLvlLbl val="0"/>
      </c:catAx>
      <c:valAx>
        <c:axId val="62536264"/>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04028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71442038496847"/>
                  <c:y val="0.077360011726766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12383538310964"/>
                  <c:y val="0.23267553503371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97368421052632"/>
                  <c:y val="-0.031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[工作簿1.xlsx]Sheet5!$A$1:$A$3</c:f>
              <c:strCache>
                <c:ptCount val="3"/>
                <c:pt idx="0">
                  <c:v>科学技术支出</c:v>
                </c:pt>
                <c:pt idx="1">
                  <c:v>社会保障和就业支出</c:v>
                </c:pt>
                <c:pt idx="2">
                  <c:v>卫生健康支出</c:v>
                </c:pt>
              </c:strCache>
            </c:strRef>
          </c:cat>
          <c:val>
            <c:numRef>
              <c:f>[工作簿1.xlsx]Sheet5!$B$1:$B$3</c:f>
              <c:numCache>
                <c:formatCode>General</c:formatCode>
                <c:ptCount val="3"/>
                <c:pt idx="0">
                  <c:v>2.7</c:v>
                </c:pt>
                <c:pt idx="1" c:formatCode="#,##0.00">
                  <c:v>2843.85</c:v>
                </c:pt>
                <c:pt idx="2" c:formatCode="#,##0.00">
                  <c:v>22452.31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8746</Words>
  <Characters>9627</Characters>
  <Lines>54</Lines>
  <Paragraphs>15</Paragraphs>
  <TotalTime>448</TotalTime>
  <ScaleCrop>false</ScaleCrop>
  <LinksUpToDate>false</LinksUpToDate>
  <CharactersWithSpaces>9924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本宝宝~</cp:lastModifiedBy>
  <cp:lastPrinted>2024-09-29T06:52:00Z</cp:lastPrinted>
  <dcterms:modified xsi:type="dcterms:W3CDTF">2024-10-09T03:41:53Z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A57F413F3C1C45B1A013D0F1CE7D6A8C</vt:lpwstr>
  </property>
</Properties>
</file>