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190" w:name="_GoBack"/>
      <w:bookmarkEnd w:id="190"/>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6896"/>
      <w:bookmarkStart w:id="4" w:name="_Toc15396475"/>
      <w:bookmarkStart w:id="5" w:name="_Toc25267"/>
      <w:bookmarkStart w:id="6" w:name="_Toc26537"/>
      <w:bookmarkStart w:id="7" w:name="_Toc7259"/>
      <w:bookmarkStart w:id="8" w:name="_Toc15377193"/>
      <w:bookmarkStart w:id="9" w:name="_Toc15396597"/>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2</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bookmarkEnd w:id="7"/>
      <w:bookmarkEnd w:id="8"/>
      <w:bookmarkEnd w:id="9"/>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15377426"/>
      <w:bookmarkStart w:id="11" w:name="_Toc7653"/>
      <w:bookmarkStart w:id="12" w:name="_Toc15396476"/>
      <w:bookmarkStart w:id="13" w:name="_Toc31992"/>
      <w:bookmarkStart w:id="14" w:name="_Toc27687"/>
      <w:bookmarkStart w:id="15" w:name="_Toc15396598"/>
      <w:bookmarkStart w:id="16" w:name="_Toc15378442"/>
      <w:bookmarkStart w:id="17" w:name="_Toc20539"/>
      <w:bookmarkStart w:id="18" w:name="_Toc15377194"/>
      <w:r>
        <w:rPr>
          <w:rFonts w:hint="eastAsia" w:ascii="方正小标宋简体" w:hAnsi="方正小标宋简体" w:eastAsia="方正小标宋简体" w:cs="方正小标宋简体"/>
          <w:sz w:val="72"/>
          <w:szCs w:val="72"/>
        </w:rPr>
        <w:t>凉山州</w:t>
      </w:r>
      <w:bookmarkEnd w:id="0"/>
      <w:bookmarkStart w:id="19" w:name="_Toc15306268"/>
      <w:r>
        <w:rPr>
          <w:rFonts w:hint="eastAsia" w:ascii="方正小标宋简体" w:hAnsi="方正小标宋简体" w:eastAsia="方正小标宋简体" w:cs="方正小标宋简体"/>
          <w:sz w:val="72"/>
          <w:szCs w:val="72"/>
          <w:lang w:eastAsia="zh-CN"/>
        </w:rPr>
        <w:t>第一人民医院</w:t>
      </w:r>
      <w:r>
        <w:rPr>
          <w:rFonts w:hint="eastAsia" w:ascii="方正小标宋简体" w:hAnsi="方正小标宋简体" w:eastAsia="方正小标宋简体" w:cs="方正小标宋简体"/>
          <w:sz w:val="72"/>
          <w:szCs w:val="72"/>
        </w:rPr>
        <w:t>单位决算</w:t>
      </w:r>
      <w:bookmarkEnd w:id="10"/>
      <w:bookmarkEnd w:id="11"/>
      <w:bookmarkEnd w:id="12"/>
      <w:bookmarkEnd w:id="13"/>
      <w:bookmarkEnd w:id="14"/>
      <w:bookmarkEnd w:id="15"/>
      <w:bookmarkEnd w:id="16"/>
      <w:bookmarkEnd w:id="17"/>
      <w:bookmarkEnd w:id="18"/>
      <w:bookmarkEnd w:id="19"/>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sdt>
      <w:sdtPr>
        <w:rPr>
          <w:rFonts w:ascii="宋体" w:hAnsi="宋体" w:eastAsia="宋体" w:cs="Times New Roman"/>
          <w:kern w:val="2"/>
          <w:sz w:val="21"/>
          <w:szCs w:val="24"/>
          <w:lang w:val="en-US" w:eastAsia="zh-CN" w:bidi="ar-SA"/>
        </w:rPr>
        <w:id w:val="147466464"/>
        <w15:color w:val="DBDBDB"/>
        <w:docPartObj>
          <w:docPartGallery w:val="Table of Contents"/>
          <w:docPartUnique/>
        </w:docPartObj>
      </w:sdtPr>
      <w:sdtEndPr>
        <w:rPr>
          <w:rFonts w:ascii="仿宋_GB2312" w:hAnsi="Times New Roman" w:eastAsia="仿宋_GB2312" w:cs="Times New Roman"/>
          <w:kern w:val="0"/>
          <w:sz w:val="30"/>
          <w:szCs w:val="24"/>
          <w:lang w:val="en-US" w:eastAsia="zh-CN" w:bidi="ar-SA"/>
        </w:rPr>
      </w:sdtEndPr>
      <w:sdtContent>
        <w:p>
          <w:pPr>
            <w:pStyle w:val="10"/>
          </w:pPr>
          <w:bookmarkStart w:id="20" w:name="_Toc15377196"/>
          <w:bookmarkStart w:id="21" w:name="_Toc15396599"/>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fldChar w:fldCharType="begin"/>
          </w:r>
          <w:r>
            <w:instrText xml:space="preserve">TOC \o "1-2" \h \u </w:instrText>
          </w:r>
          <w:r>
            <w:fldChar w:fldCharType="separate"/>
          </w:r>
        </w:p>
        <w:p>
          <w:pPr>
            <w:pStyle w:val="10"/>
            <w:tabs>
              <w:tab w:val="right" w:leader="dot" w:pos="8306"/>
              <w:tab w:val="clear" w:pos="8296"/>
            </w:tabs>
          </w:pPr>
          <w:r>
            <w:fldChar w:fldCharType="begin"/>
          </w:r>
          <w:r>
            <w:instrText xml:space="preserve"> HYPERLINK \l _Toc12201 </w:instrText>
          </w:r>
          <w: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_Toc12201 \h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_Toc3498 </w:instrText>
          </w:r>
          <w:r>
            <w:fldChar w:fldCharType="separate"/>
          </w:r>
          <w:r>
            <w:rPr>
              <w:rFonts w:hint="eastAsia" w:ascii="黑体" w:hAnsi="黑体" w:eastAsia="黑体"/>
              <w:bCs w:val="0"/>
            </w:rPr>
            <w:t>一、</w:t>
          </w:r>
          <w:r>
            <w:rPr>
              <w:rFonts w:hint="eastAsia" w:ascii="黑体" w:hAnsi="黑体" w:eastAsia="黑体"/>
              <w:bCs w:val="0"/>
              <w:lang w:eastAsia="zh-CN"/>
            </w:rPr>
            <w:t>主要职责</w:t>
          </w:r>
          <w:r>
            <w:tab/>
          </w:r>
          <w:r>
            <w:fldChar w:fldCharType="begin"/>
          </w:r>
          <w:r>
            <w:instrText xml:space="preserve"> PAGEREF _Toc3498 \h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_Toc10870 </w:instrText>
          </w:r>
          <w:r>
            <w:fldChar w:fldCharType="separate"/>
          </w:r>
          <w:r>
            <w:rPr>
              <w:rFonts w:hint="eastAsia" w:ascii="黑体" w:hAnsi="黑体" w:eastAsia="黑体"/>
            </w:rPr>
            <w:t>二、</w:t>
          </w:r>
          <w:r>
            <w:rPr>
              <w:rFonts w:hint="eastAsia" w:ascii="黑体" w:hAnsi="黑体" w:eastAsia="黑体"/>
              <w:lang w:eastAsia="zh-CN"/>
            </w:rPr>
            <w:t>机构设置</w:t>
          </w:r>
          <w:r>
            <w:tab/>
          </w:r>
          <w:r>
            <w:fldChar w:fldCharType="begin"/>
          </w:r>
          <w:r>
            <w:instrText xml:space="preserve"> PAGEREF _Toc10870 \h </w:instrText>
          </w:r>
          <w:r>
            <w:fldChar w:fldCharType="separate"/>
          </w:r>
          <w:r>
            <w:t>8</w:t>
          </w:r>
          <w:r>
            <w:fldChar w:fldCharType="end"/>
          </w:r>
          <w:r>
            <w:fldChar w:fldCharType="end"/>
          </w:r>
        </w:p>
        <w:p>
          <w:pPr>
            <w:pStyle w:val="10"/>
            <w:tabs>
              <w:tab w:val="right" w:leader="dot" w:pos="8306"/>
              <w:tab w:val="clear" w:pos="8296"/>
            </w:tabs>
          </w:pPr>
          <w:r>
            <w:fldChar w:fldCharType="begin"/>
          </w:r>
          <w:r>
            <w:instrText xml:space="preserve"> HYPERLINK \l _Toc30899 </w:instrText>
          </w:r>
          <w:r>
            <w:fldChar w:fldCharType="separate"/>
          </w:r>
          <w:r>
            <w:rPr>
              <w:rFonts w:hint="eastAsia" w:ascii="黑体" w:hAnsi="黑体" w:eastAsia="黑体"/>
            </w:rPr>
            <w:t>第二部分 202</w:t>
          </w:r>
          <w:r>
            <w:rPr>
              <w:rFonts w:hint="eastAsia" w:ascii="黑体" w:hAnsi="黑体" w:eastAsia="黑体"/>
              <w:lang w:val="en-US" w:eastAsia="zh-CN"/>
            </w:rPr>
            <w:t>2</w:t>
          </w:r>
          <w:r>
            <w:rPr>
              <w:rFonts w:hint="eastAsia" w:ascii="黑体" w:hAnsi="黑体" w:eastAsia="黑体"/>
            </w:rPr>
            <w:t>年度</w:t>
          </w:r>
          <w:r>
            <w:rPr>
              <w:rFonts w:hint="eastAsia" w:ascii="黑体" w:hAnsi="黑体" w:eastAsia="黑体"/>
              <w:bCs/>
            </w:rPr>
            <w:t>单位决算情况说明</w:t>
          </w:r>
          <w:r>
            <w:tab/>
          </w:r>
          <w:r>
            <w:fldChar w:fldCharType="begin"/>
          </w:r>
          <w:r>
            <w:instrText xml:space="preserve"> PAGEREF _Toc30899 \h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_Toc1906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_Toc1906 \h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_Toc28162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_Toc28162 \h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_Toc16642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_Toc16642 \h </w:instrText>
          </w:r>
          <w:r>
            <w:fldChar w:fldCharType="separate"/>
          </w:r>
          <w:r>
            <w:t>10</w:t>
          </w:r>
          <w:r>
            <w:fldChar w:fldCharType="end"/>
          </w:r>
          <w:r>
            <w:fldChar w:fldCharType="end"/>
          </w:r>
        </w:p>
        <w:p>
          <w:pPr>
            <w:pStyle w:val="11"/>
            <w:tabs>
              <w:tab w:val="right" w:leader="dot" w:pos="8306"/>
              <w:tab w:val="clear" w:pos="8296"/>
            </w:tabs>
          </w:pPr>
          <w:r>
            <w:fldChar w:fldCharType="begin"/>
          </w:r>
          <w:r>
            <w:instrText xml:space="preserve"> HYPERLINK \l _Toc9351 </w:instrText>
          </w:r>
          <w:r>
            <w:fldChar w:fldCharType="separate"/>
          </w:r>
          <w:r>
            <w:rPr>
              <w:rFonts w:hint="eastAsia" w:ascii="黑体" w:hAnsi="黑体" w:eastAsia="黑体"/>
              <w:szCs w:val="32"/>
            </w:rPr>
            <w:t>四、</w:t>
          </w:r>
          <w:r>
            <w:rPr>
              <w:rFonts w:hint="eastAsia" w:ascii="黑体" w:hAnsi="黑体" w:eastAsia="黑体"/>
              <w:szCs w:val="32"/>
              <w:lang w:val="en-US" w:eastAsia="zh-CN"/>
            </w:rPr>
            <w:t xml:space="preserve"> </w:t>
          </w:r>
          <w:r>
            <w:rPr>
              <w:rFonts w:hint="eastAsia" w:ascii="黑体" w:hAnsi="黑体" w:eastAsia="黑体"/>
              <w:szCs w:val="32"/>
            </w:rPr>
            <w:t>财</w:t>
          </w:r>
          <w:r>
            <w:rPr>
              <w:rFonts w:hint="eastAsia" w:ascii="黑体" w:hAnsi="黑体" w:eastAsia="黑体"/>
            </w:rPr>
            <w:t>政拨款收入支出决算总体情况说明</w:t>
          </w:r>
          <w:r>
            <w:tab/>
          </w:r>
          <w:r>
            <w:fldChar w:fldCharType="begin"/>
          </w:r>
          <w:r>
            <w:instrText xml:space="preserve"> PAGEREF _Toc9351 \h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_Toc21858 </w:instrText>
          </w:r>
          <w:r>
            <w:fldChar w:fldCharType="separate"/>
          </w:r>
          <w:r>
            <w:rPr>
              <w:rFonts w:hint="eastAsia" w:ascii="黑体" w:hAnsi="黑体" w:eastAsia="黑体"/>
              <w:szCs w:val="32"/>
            </w:rPr>
            <w:t>五、</w:t>
          </w: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rPr>
            <w:t>般公共预算财政拨款支出决算情况说明</w:t>
          </w:r>
          <w:r>
            <w:tab/>
          </w:r>
          <w:r>
            <w:fldChar w:fldCharType="begin"/>
          </w:r>
          <w:r>
            <w:instrText xml:space="preserve"> PAGEREF _Toc21858 \h </w:instrText>
          </w:r>
          <w:r>
            <w:fldChar w:fldCharType="separate"/>
          </w:r>
          <w:r>
            <w:t>12</w:t>
          </w:r>
          <w:r>
            <w:fldChar w:fldCharType="end"/>
          </w:r>
          <w:r>
            <w:fldChar w:fldCharType="end"/>
          </w:r>
        </w:p>
        <w:p>
          <w:pPr>
            <w:pStyle w:val="11"/>
            <w:tabs>
              <w:tab w:val="right" w:leader="dot" w:pos="8306"/>
              <w:tab w:val="clear" w:pos="8296"/>
            </w:tabs>
          </w:pPr>
          <w:r>
            <w:fldChar w:fldCharType="begin"/>
          </w:r>
          <w:r>
            <w:instrText xml:space="preserve"> HYPERLINK \l _Toc15735 </w:instrText>
          </w:r>
          <w:r>
            <w:fldChar w:fldCharType="separate"/>
          </w:r>
          <w:r>
            <w:rPr>
              <w:rFonts w:hint="eastAsia" w:ascii="黑体" w:eastAsia="黑体"/>
              <w:szCs w:val="32"/>
            </w:rPr>
            <w:t>六、</w:t>
          </w:r>
          <w:r>
            <w:rPr>
              <w:rFonts w:hint="eastAsia" w:ascii="黑体" w:eastAsia="黑体"/>
              <w:szCs w:val="32"/>
              <w:lang w:val="en-US" w:eastAsia="zh-CN"/>
            </w:rPr>
            <w:t xml:space="preserve"> </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_Toc15735 \h </w:instrText>
          </w:r>
          <w:r>
            <w:fldChar w:fldCharType="separate"/>
          </w:r>
          <w:r>
            <w:t>16</w:t>
          </w:r>
          <w:r>
            <w:fldChar w:fldCharType="end"/>
          </w:r>
          <w:r>
            <w:fldChar w:fldCharType="end"/>
          </w:r>
        </w:p>
        <w:p>
          <w:pPr>
            <w:pStyle w:val="11"/>
            <w:tabs>
              <w:tab w:val="right" w:leader="dot" w:pos="8306"/>
              <w:tab w:val="clear" w:pos="8296"/>
            </w:tabs>
          </w:pPr>
          <w:r>
            <w:fldChar w:fldCharType="begin"/>
          </w:r>
          <w:r>
            <w:instrText xml:space="preserve"> HYPERLINK \l _Toc24953 </w:instrText>
          </w:r>
          <w:r>
            <w:fldChar w:fldCharType="separate"/>
          </w:r>
          <w:r>
            <w:rPr>
              <w:rFonts w:hint="eastAsia" w:ascii="黑体" w:eastAsia="黑体"/>
              <w:szCs w:val="32"/>
            </w:rPr>
            <w:t>七、</w:t>
          </w:r>
          <w:r>
            <w:rPr>
              <w:rFonts w:hint="eastAsia" w:ascii="黑体" w:eastAsia="黑体"/>
              <w:szCs w:val="32"/>
              <w:lang w:val="en-US" w:eastAsia="zh-CN"/>
            </w:rPr>
            <w:t xml:space="preserve"> </w:t>
          </w:r>
          <w:r>
            <w:rPr>
              <w:rFonts w:hint="eastAsia" w:ascii="黑体" w:hAnsi="黑体" w:eastAsia="黑体"/>
              <w:highlight w:val="none"/>
            </w:rPr>
            <w:t>财政拨款“三公”经费支出决算情况说明</w:t>
          </w:r>
          <w:r>
            <w:tab/>
          </w:r>
          <w:r>
            <w:fldChar w:fldCharType="begin"/>
          </w:r>
          <w:r>
            <w:instrText xml:space="preserve"> PAGEREF _Toc24953 \h </w:instrText>
          </w:r>
          <w:r>
            <w:fldChar w:fldCharType="separate"/>
          </w:r>
          <w:r>
            <w:t>16</w:t>
          </w:r>
          <w:r>
            <w:fldChar w:fldCharType="end"/>
          </w:r>
          <w:r>
            <w:fldChar w:fldCharType="end"/>
          </w:r>
        </w:p>
        <w:p>
          <w:pPr>
            <w:pStyle w:val="11"/>
            <w:tabs>
              <w:tab w:val="right" w:leader="dot" w:pos="8306"/>
              <w:tab w:val="clear" w:pos="8296"/>
            </w:tabs>
          </w:pPr>
          <w:r>
            <w:fldChar w:fldCharType="begin"/>
          </w:r>
          <w:r>
            <w:instrText xml:space="preserve"> HYPERLINK \l _Toc15393 </w:instrText>
          </w:r>
          <w:r>
            <w:fldChar w:fldCharType="separate"/>
          </w:r>
          <w:r>
            <w:rPr>
              <w:rFonts w:hint="eastAsia" w:ascii="黑体" w:eastAsia="黑体"/>
              <w:szCs w:val="32"/>
            </w:rPr>
            <w:t>八、</w:t>
          </w:r>
          <w:r>
            <w:rPr>
              <w:rFonts w:hint="eastAsia" w:ascii="黑体" w:eastAsia="黑体"/>
              <w:szCs w:val="32"/>
              <w:lang w:val="en-US" w:eastAsia="zh-CN"/>
            </w:rPr>
            <w:t xml:space="preserve"> </w:t>
          </w:r>
          <w:r>
            <w:rPr>
              <w:rFonts w:hint="eastAsia" w:ascii="黑体" w:hAnsi="黑体" w:eastAsia="黑体"/>
            </w:rPr>
            <w:t>政府性基金预算支出决算情况说明</w:t>
          </w:r>
          <w:r>
            <w:tab/>
          </w:r>
          <w:r>
            <w:fldChar w:fldCharType="begin"/>
          </w:r>
          <w:r>
            <w:instrText xml:space="preserve"> PAGEREF _Toc15393 \h </w:instrText>
          </w:r>
          <w:r>
            <w:fldChar w:fldCharType="separate"/>
          </w:r>
          <w:r>
            <w:t>18</w:t>
          </w:r>
          <w:r>
            <w:fldChar w:fldCharType="end"/>
          </w:r>
          <w:r>
            <w:fldChar w:fldCharType="end"/>
          </w:r>
        </w:p>
        <w:p>
          <w:pPr>
            <w:pStyle w:val="11"/>
            <w:tabs>
              <w:tab w:val="right" w:leader="dot" w:pos="8306"/>
              <w:tab w:val="clear" w:pos="8296"/>
            </w:tabs>
          </w:pPr>
          <w:r>
            <w:fldChar w:fldCharType="begin"/>
          </w:r>
          <w:r>
            <w:instrText xml:space="preserve"> HYPERLINK \l _Toc1483 </w:instrText>
          </w:r>
          <w:r>
            <w:fldChar w:fldCharType="separate"/>
          </w:r>
          <w:r>
            <w:rPr>
              <w:rFonts w:hint="eastAsia" w:ascii="黑体" w:hAnsi="黑体" w:eastAsia="黑体"/>
            </w:rPr>
            <w:t>九、 国有资本经营预算支出决算情况说明</w:t>
          </w:r>
          <w:r>
            <w:tab/>
          </w:r>
          <w:r>
            <w:fldChar w:fldCharType="begin"/>
          </w:r>
          <w:r>
            <w:instrText xml:space="preserve"> PAGEREF _Toc1483 \h </w:instrText>
          </w:r>
          <w:r>
            <w:fldChar w:fldCharType="separate"/>
          </w:r>
          <w:r>
            <w:t>18</w:t>
          </w:r>
          <w:r>
            <w:fldChar w:fldCharType="end"/>
          </w:r>
          <w:r>
            <w:fldChar w:fldCharType="end"/>
          </w:r>
        </w:p>
        <w:p>
          <w:pPr>
            <w:pStyle w:val="11"/>
            <w:tabs>
              <w:tab w:val="right" w:leader="dot" w:pos="8306"/>
              <w:tab w:val="clear" w:pos="8296"/>
            </w:tabs>
          </w:pPr>
          <w:r>
            <w:fldChar w:fldCharType="begin"/>
          </w:r>
          <w:r>
            <w:instrText xml:space="preserve"> HYPERLINK \l _Toc21210 </w:instrText>
          </w:r>
          <w:r>
            <w:fldChar w:fldCharType="separate"/>
          </w:r>
          <w:r>
            <w:rPr>
              <w:rFonts w:hint="eastAsia" w:ascii="黑体" w:hAnsi="黑体" w:eastAsia="黑体"/>
            </w:rPr>
            <w:t>十、 其他重要事项的情况说明</w:t>
          </w:r>
          <w:r>
            <w:tab/>
          </w:r>
          <w:r>
            <w:fldChar w:fldCharType="begin"/>
          </w:r>
          <w:r>
            <w:instrText xml:space="preserve"> PAGEREF _Toc21210 \h </w:instrText>
          </w:r>
          <w:r>
            <w:fldChar w:fldCharType="separate"/>
          </w:r>
          <w:r>
            <w:t>18</w:t>
          </w:r>
          <w:r>
            <w:fldChar w:fldCharType="end"/>
          </w:r>
          <w:r>
            <w:fldChar w:fldCharType="end"/>
          </w:r>
        </w:p>
        <w:p>
          <w:pPr>
            <w:pStyle w:val="10"/>
            <w:tabs>
              <w:tab w:val="right" w:leader="dot" w:pos="8306"/>
              <w:tab w:val="clear" w:pos="8296"/>
            </w:tabs>
          </w:pPr>
          <w:r>
            <w:fldChar w:fldCharType="begin"/>
          </w:r>
          <w:r>
            <w:instrText xml:space="preserve"> HYPERLINK \l _Toc2231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_Toc2231 \h </w:instrText>
          </w:r>
          <w:r>
            <w:fldChar w:fldCharType="separate"/>
          </w:r>
          <w:r>
            <w:t>20</w:t>
          </w:r>
          <w:r>
            <w:fldChar w:fldCharType="end"/>
          </w:r>
          <w:r>
            <w:fldChar w:fldCharType="end"/>
          </w:r>
        </w:p>
        <w:p>
          <w:pPr>
            <w:pStyle w:val="10"/>
            <w:tabs>
              <w:tab w:val="right" w:leader="dot" w:pos="8306"/>
              <w:tab w:val="clear" w:pos="8296"/>
            </w:tabs>
          </w:pPr>
          <w:r>
            <w:fldChar w:fldCharType="begin"/>
          </w:r>
          <w:r>
            <w:instrText xml:space="preserve"> HYPERLINK \l _Toc32373 </w:instrText>
          </w:r>
          <w:r>
            <w:fldChar w:fldCharType="separate"/>
          </w:r>
          <w:r>
            <w:rPr>
              <w:rFonts w:hint="eastAsia" w:ascii="黑体" w:hAnsi="黑体" w:eastAsia="黑体" w:cs="黑体"/>
              <w:szCs w:val="44"/>
            </w:rPr>
            <w:t>第</w:t>
          </w:r>
          <w:r>
            <w:rPr>
              <w:rFonts w:hint="eastAsia" w:ascii="黑体" w:hAnsi="黑体" w:eastAsia="黑体" w:cs="黑体"/>
              <w:szCs w:val="44"/>
              <w:lang w:eastAsia="zh-CN"/>
            </w:rPr>
            <w:t>四</w:t>
          </w:r>
          <w:r>
            <w:rPr>
              <w:rFonts w:hint="eastAsia" w:ascii="黑体" w:hAnsi="黑体" w:eastAsia="黑体" w:cs="黑体"/>
              <w:szCs w:val="44"/>
            </w:rPr>
            <w:t xml:space="preserve">部分 </w:t>
          </w:r>
          <w:r>
            <w:rPr>
              <w:rFonts w:hint="eastAsia" w:ascii="黑体" w:hAnsi="黑体" w:eastAsia="黑体"/>
              <w:szCs w:val="44"/>
              <w:highlight w:val="none"/>
              <w:lang w:eastAsia="zh-CN"/>
            </w:rPr>
            <w:t>附件</w:t>
          </w:r>
          <w:r>
            <w:tab/>
          </w:r>
          <w:r>
            <w:fldChar w:fldCharType="begin"/>
          </w:r>
          <w:r>
            <w:instrText xml:space="preserve"> PAGEREF _Toc32373 \h </w:instrText>
          </w:r>
          <w:r>
            <w:fldChar w:fldCharType="separate"/>
          </w:r>
          <w:r>
            <w:t>23</w:t>
          </w:r>
          <w:r>
            <w:fldChar w:fldCharType="end"/>
          </w:r>
          <w:r>
            <w:fldChar w:fldCharType="end"/>
          </w:r>
        </w:p>
        <w:p>
          <w:pPr>
            <w:pStyle w:val="10"/>
            <w:tabs>
              <w:tab w:val="right" w:leader="dot" w:pos="8306"/>
              <w:tab w:val="clear" w:pos="8296"/>
            </w:tabs>
          </w:pPr>
          <w:r>
            <w:fldChar w:fldCharType="begin"/>
          </w:r>
          <w:r>
            <w:instrText xml:space="preserve"> HYPERLINK \l _Toc19435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_Toc19435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_Toc14699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_Toc14699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_Toc2424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_Toc2424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_Toc16664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_Toc16664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_Toc3730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_Toc3730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_Toc17923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_Toc17923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_Toc26449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_Toc26449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_Toc26747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_Toc26747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_Toc6858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_Toc6858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_Toc2727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_Toc2727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_Toc28193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_Toc28193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_Toc5175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有资本经营预算财政拨款收入支出决算表</w:t>
          </w:r>
          <w:r>
            <w:tab/>
          </w:r>
          <w:r>
            <w:fldChar w:fldCharType="begin"/>
          </w:r>
          <w:r>
            <w:instrText xml:space="preserve"> PAGEREF _Toc5175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_Toc13145 </w:instrText>
          </w:r>
          <w:r>
            <w:fldChar w:fldCharType="separate"/>
          </w:r>
          <w:r>
            <w:rPr>
              <w:rFonts w:hint="eastAsia" w:ascii="仿宋" w:hAnsi="仿宋" w:eastAsia="仿宋"/>
              <w:bCs w:val="0"/>
              <w:highlight w:val="none"/>
            </w:rPr>
            <w:t>十二、国有资本经营预算财政拨款支出决算表</w:t>
          </w:r>
          <w:r>
            <w:tab/>
          </w:r>
          <w:r>
            <w:fldChar w:fldCharType="begin"/>
          </w:r>
          <w:r>
            <w:instrText xml:space="preserve"> PAGEREF _Toc13145 \h </w:instrText>
          </w:r>
          <w:r>
            <w:fldChar w:fldCharType="separate"/>
          </w:r>
          <w:r>
            <w:t>24</w:t>
          </w:r>
          <w:r>
            <w:fldChar w:fldCharType="end"/>
          </w:r>
          <w:r>
            <w:fldChar w:fldCharType="end"/>
          </w:r>
        </w:p>
        <w:p>
          <w:pPr>
            <w:pStyle w:val="11"/>
            <w:tabs>
              <w:tab w:val="right" w:leader="dot" w:pos="8306"/>
              <w:tab w:val="clear" w:pos="8296"/>
            </w:tabs>
          </w:pPr>
          <w:r>
            <w:fldChar w:fldCharType="begin"/>
          </w:r>
          <w:r>
            <w:instrText xml:space="preserve"> HYPERLINK \l _Toc22775 </w:instrText>
          </w:r>
          <w:r>
            <w:fldChar w:fldCharType="separate"/>
          </w:r>
          <w:r>
            <w:rPr>
              <w:rFonts w:hint="eastAsia" w:ascii="仿宋" w:hAnsi="仿宋" w:eastAsia="仿宋"/>
              <w:bCs w:val="0"/>
              <w:highlight w:val="none"/>
            </w:rPr>
            <w:t>十三、财政拨款“三公”经费支出决算表</w:t>
          </w:r>
          <w:r>
            <w:tab/>
          </w:r>
          <w:r>
            <w:fldChar w:fldCharType="begin"/>
          </w:r>
          <w:r>
            <w:instrText xml:space="preserve"> PAGEREF _Toc22775 \h </w:instrText>
          </w:r>
          <w:r>
            <w:fldChar w:fldCharType="separate"/>
          </w:r>
          <w:r>
            <w:t>24</w:t>
          </w:r>
          <w:r>
            <w:fldChar w:fldCharType="end"/>
          </w:r>
          <w:r>
            <w:fldChar w:fldCharType="end"/>
          </w:r>
        </w:p>
        <w:p>
          <w:pPr>
            <w:pStyle w:val="2"/>
          </w:pPr>
          <w:r>
            <w:fldChar w:fldCharType="end"/>
          </w:r>
        </w:p>
      </w:sdtContent>
    </w:sdt>
    <w:p>
      <w:pPr>
        <w:pStyle w:val="3"/>
        <w:jc w:val="center"/>
        <w:rPr>
          <w:rStyle w:val="25"/>
          <w:rFonts w:ascii="黑体" w:hAnsi="黑体" w:eastAsia="黑体"/>
          <w:b/>
          <w:bCs w:val="0"/>
        </w:rPr>
      </w:pPr>
      <w:bookmarkStart w:id="22" w:name="_Toc12201"/>
      <w:bookmarkStart w:id="23" w:name="_Toc2877"/>
      <w:r>
        <w:rPr>
          <w:rFonts w:hint="eastAsia" w:ascii="黑体" w:hAnsi="黑体" w:eastAsia="黑体"/>
          <w:b w:val="0"/>
        </w:rPr>
        <w:t>第一部分 单位</w:t>
      </w:r>
      <w:r>
        <w:rPr>
          <w:rStyle w:val="25"/>
          <w:rFonts w:hint="eastAsia" w:ascii="黑体" w:hAnsi="黑体" w:eastAsia="黑体"/>
          <w:b w:val="0"/>
          <w:bCs w:val="0"/>
        </w:rPr>
        <w:t>概况</w:t>
      </w:r>
      <w:bookmarkEnd w:id="20"/>
      <w:bookmarkEnd w:id="21"/>
      <w:bookmarkEnd w:id="22"/>
      <w:bookmarkEnd w:id="23"/>
    </w:p>
    <w:p>
      <w:pPr>
        <w:widowControl/>
        <w:jc w:val="left"/>
        <w:rPr>
          <w:rFonts w:ascii="黑体" w:eastAsia="黑体"/>
          <w:sz w:val="32"/>
          <w:szCs w:val="32"/>
        </w:rPr>
      </w:pPr>
    </w:p>
    <w:p>
      <w:pPr>
        <w:pStyle w:val="4"/>
        <w:numPr>
          <w:ilvl w:val="0"/>
          <w:numId w:val="1"/>
        </w:numPr>
        <w:rPr>
          <w:rStyle w:val="26"/>
          <w:rFonts w:hint="eastAsia" w:ascii="黑体" w:hAnsi="黑体" w:eastAsia="黑体"/>
          <w:b w:val="0"/>
          <w:bCs w:val="0"/>
        </w:rPr>
      </w:pPr>
      <w:bookmarkStart w:id="24" w:name="_Toc3498"/>
      <w:bookmarkStart w:id="25" w:name="_Toc15396600"/>
      <w:bookmarkStart w:id="26" w:name="_Toc15377197"/>
      <w:r>
        <w:rPr>
          <w:rStyle w:val="26"/>
          <w:rFonts w:hint="eastAsia" w:ascii="黑体" w:hAnsi="黑体" w:eastAsia="黑体"/>
          <w:b w:val="0"/>
          <w:bCs w:val="0"/>
          <w:lang w:eastAsia="zh-CN"/>
        </w:rPr>
        <w:t>主要职责</w:t>
      </w:r>
      <w:bookmarkEnd w:id="24"/>
    </w:p>
    <w:p>
      <w:pPr>
        <w:pStyle w:val="12"/>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医院设院本部（顺城街院区）、马道院区、长安院区暨凉山州传染病医院三个院区，编制床位834张，开放床位1600余张。总占地116.13亩（院本部32.54亩、马道院区47.77亩、长安院区35.82亩），总建筑面积92700㎡，业务用房85000㎡。医院职工人数3100余人，其中，博士、硕士研究生172人，高级职称381人。</w:t>
      </w:r>
    </w:p>
    <w:p>
      <w:pPr>
        <w:pStyle w:val="12"/>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医院现有37个临床科室，34个护理单元，10个医技科室。其中，胸心血管外科、儿科、心血管内科为省级临床重点专科，儿科、肾病内科、肝胆胰胃肠外科、医学影像、护理、妇产科、肿瘤科、泌尿外科8个专业为四川省医学重点专科，拥有呼吸与危重症医学科等27个州级医学重点专科。拥有全科、内科、外科、妇产科、儿科、麻醉科、放射科、超声医学科等8个国家级住院医师规范化专业基地和1个省级护士规范化培训基地，2022年在培人数224人。医院2022年共接收来自各大医学院校各专业实习生690余人，接收全州各级医疗机构选派学员进修人员122人次。2022年医院获立国家级继教项目6项，省级继教项目41项，州级继教项目31项。</w:t>
      </w:r>
    </w:p>
    <w:p>
      <w:pPr>
        <w:pStyle w:val="12"/>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全院职工秉承“全心全意为各族群众健康服务”的宗旨，坚持“仁医仁术，同心同德”的院训，不断提高团队素质、医疗服务质量和教学科研学术水平，努力构建“医疗服务放心医院，民族团结模范医院”。</w:t>
      </w:r>
    </w:p>
    <w:p>
      <w:pPr>
        <w:pStyle w:val="12"/>
        <w:shd w:val="clear" w:color="auto" w:fill="FFFFFF"/>
        <w:spacing w:line="463" w:lineRule="atLeas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2022年重点工作完成情况：</w:t>
      </w:r>
    </w:p>
    <w:p>
      <w:pPr>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（一）</w:t>
      </w:r>
      <w:r>
        <w:rPr>
          <w:rFonts w:hint="eastAsia" w:ascii="仿宋" w:hAnsi="仿宋" w:eastAsia="仿宋"/>
          <w:b w:val="0"/>
          <w:bCs w:val="0"/>
          <w:sz w:val="32"/>
          <w:szCs w:val="32"/>
        </w:rPr>
        <w:t>服务中心大局，在提高服务质量上下功夫</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全年完成门诊诊疗 988802 人次、出院 55833 人次、手术及操作 56768 人次，病床使用率 81.47%，开展新技术新业务项目 57 项，开展多学科协作诊疗全院大会诊 102 次，参与州内各种大型会议大型活动医疗保障 21 次，累计参与保障天数达 174天，全国三级公立医院绩效考核成绩提升至 380 名。先后与会理市人民医院、会东县人民医院签约智慧型医联体，与会理市人民医院、会东县人民医院、冕宁县人民医院结对专科联盟 28 个，促进医疗资源合理利用，实现医联体资源互通共享。上线智慧护理大屏、康复治疗管理系统、单病种管理系统，实现门诊诊前、诊中、诊后的智慧化服务。上线使用互联网医院，实现足不出户在线复诊、在线续方、报告解读、图文咨询、电话咨询，共计为各类特殊重点人群提供在线复诊 2952 人次、接受在线咨询 9364人次、解读报告 410 份、开具在线处方 465 张。眼科光明中心在眼底疾病规范化诊疗中国行动 2022 年表彰大会中获得眼底疾病规范化诊疗优秀案例表彰，并接受健康报采访报道。信息化建设通过四川省智慧医院二星评审，国家智慧服务评级达二级、智慧管理评级达一级。</w:t>
      </w:r>
    </w:p>
    <w:p>
      <w:pPr>
        <w:pStyle w:val="2"/>
        <w:spacing w:before="93"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（二）</w:t>
      </w:r>
      <w:r>
        <w:rPr>
          <w:rFonts w:hint="eastAsia" w:ascii="仿宋" w:hAnsi="仿宋" w:eastAsia="仿宋"/>
          <w:b w:val="0"/>
          <w:bCs w:val="0"/>
          <w:sz w:val="32"/>
          <w:szCs w:val="32"/>
        </w:rPr>
        <w:t>强化责任担当，在推进疫情防控上下功夫</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在疫情防控工作中，共计发布核酸检测报告 2361582 份，为疫情防控工作提供了有力的检测技术支撑。共计派出 520 余名医护人员赴南充、成都、西昌、会理、甘洛、普格开展核酸采样工作，共计派出 200 余人次专家组指导 17 县市的疫情防控工作。在当前疫情形势下，工作重心从“防”转到“治”，优化门急诊、发热门诊就医流程，加大设施改造、设备配备、物资保障投入，坚持人力资源调配一盘棋、病房床位收治一盘棋、医疗物资调度一盘棋，集全院之力全力保障患者救治工作，做到“应收尽收”“应治尽治”。</w:t>
      </w:r>
    </w:p>
    <w:p>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（三）</w:t>
      </w:r>
      <w:r>
        <w:rPr>
          <w:rFonts w:hint="eastAsia" w:ascii="仿宋" w:hAnsi="仿宋" w:eastAsia="仿宋"/>
          <w:b w:val="0"/>
          <w:bCs w:val="0"/>
          <w:sz w:val="32"/>
          <w:szCs w:val="32"/>
        </w:rPr>
        <w:t>凝聚发展合力，在助力乡村振兴上下功夫</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着力在完善基础设施、发展特色产业上下功夫，全面推进乡村振兴工作落地落实。向两个帮扶村群众发放价值 20.7 万余元的 3000 只阉鸡苗、400 只狮头脱温仔鹅和过渡饲料，并邀请高级兽医师讲解养殖与防病防疫的相关知识。组织开展阉鸡、狮头鹅“以购代捐”活动，共计为两个帮扶村增收 31 万余元。组织畜牧专家开展帮扶村的标准化羊圈修建选址、现有牛圈改扩建项目选址和牛羊经营养殖管理模式调研工作 4 次，下沉帮扶人员22 人次。扎实开展“干部回村绘蓝图”行动，在六一前夕为昭觉县龙沟乡中心校的孩子赠送书包 180 个，组织党员到冕宁县泸沽镇光明村开展义诊活动、到越西县南箐镇卫生院开展艾防工作督导并对卫生院发展规划提出意见建议。医院荣获 2021 年度凉山州级部门（单位）乡村振兴定点帮扶工作先进单位荣誉称号。</w:t>
      </w:r>
    </w:p>
    <w:p>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（四）</w:t>
      </w:r>
      <w:r>
        <w:rPr>
          <w:rFonts w:hint="eastAsia" w:ascii="仿宋" w:hAnsi="仿宋" w:eastAsia="仿宋"/>
          <w:b w:val="0"/>
          <w:bCs w:val="0"/>
          <w:sz w:val="32"/>
          <w:szCs w:val="32"/>
        </w:rPr>
        <w:t>加强人才建设，在增强发展动力上下功夫</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认真落实党管人才的要求，始终将“求才、用才、育才、留才”摆在重要的战略地位，切实做到更好地吸纳人才、用好人才、留住人才。全年，通过“千名英才·智汇凉山”菁英计划、双选会等方式引进硕士研究生 22 人、本科学历人才 43 人，人才引进工作取得较好成绩。积极申报第十四批四川省学术和技术带头人后备人选 2 名、凉山州第十一批学术和技术带头人 11 名、凉山州第十一批学术和技术带头人后备人选 27 名、“凉山名医”2名、“凉山杰出科技工作者”1 名。接收来自西南医科大学等多所院校各专业实习生 670 余人，外派进修人员 90 人次，接收下级医院选派到我院各类进修人员 122 人次，承担规培教学工作在院学生 228 人。</w:t>
      </w:r>
    </w:p>
    <w:p>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（五）</w:t>
      </w:r>
      <w:r>
        <w:rPr>
          <w:rFonts w:hint="eastAsia" w:ascii="仿宋" w:hAnsi="仿宋" w:eastAsia="仿宋"/>
          <w:b w:val="0"/>
          <w:bCs w:val="0"/>
          <w:sz w:val="32"/>
          <w:szCs w:val="32"/>
        </w:rPr>
        <w:t>强化科研意识，在提高核心竞争力上下功夫</w:t>
      </w:r>
    </w:p>
    <w:p>
      <w:pPr>
        <w:spacing w:line="580" w:lineRule="exact"/>
        <w:ind w:firstLine="640" w:firstLineChars="200"/>
        <w:rPr>
          <w:rFonts w:ascii="仿宋" w:hAnsi="仿宋" w:eastAsia="仿宋" w:cs="仿宋"/>
          <w:sz w:val="32"/>
          <w:szCs w:val="32"/>
        </w:rPr>
      </w:pPr>
      <w:r>
        <w:rPr>
          <w:rFonts w:hint="eastAsia" w:ascii="仿宋" w:hAnsi="仿宋" w:eastAsia="仿宋"/>
          <w:sz w:val="32"/>
          <w:szCs w:val="32"/>
          <w:lang w:eastAsia="zh-CN"/>
        </w:rPr>
        <w:t>进一步加强医务人员科研意识，指导和鼓励各科室开展科研选题和立项，科研课题逐年递增，科研能力迅速提升。全年，获四川省医学会科研课题立项 4 项、四川省护理学会科研课题立项1 项、州级科研课题立项 29 项，首次设立院级科研课题并立项14 项，获四川省医学科技奖 2 项、四川省医学青年科技奖 1 项。申报州级重点专科建设项目 3 个，儿科、胸心血管外科成功立项四川省临床重点专科。医院被确立为四川省首批临床研究伦理备案系统试点单位，荣获凉山州科技创新工作先进单位荣誉称号。</w:t>
      </w:r>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27" w:name="_Toc27863"/>
      <w:bookmarkStart w:id="28" w:name="_Toc22292"/>
      <w:bookmarkStart w:id="29" w:name="_Toc18290"/>
      <w:bookmarkStart w:id="30" w:name="_Toc30297"/>
      <w:r>
        <w:rPr>
          <w:rFonts w:hint="eastAsia" w:ascii="仿宋" w:hAnsi="仿宋" w:eastAsia="仿宋"/>
          <w:b w:val="0"/>
          <w:bCs w:val="0"/>
          <w:sz w:val="32"/>
          <w:szCs w:val="32"/>
          <w:lang w:eastAsia="zh-CN"/>
        </w:rPr>
        <w:t>（六）</w:t>
      </w:r>
      <w:bookmarkEnd w:id="27"/>
      <w:bookmarkEnd w:id="28"/>
      <w:r>
        <w:rPr>
          <w:rFonts w:hint="eastAsia" w:ascii="仿宋" w:hAnsi="仿宋" w:eastAsia="仿宋"/>
          <w:b w:val="0"/>
          <w:bCs w:val="0"/>
          <w:sz w:val="32"/>
          <w:szCs w:val="32"/>
          <w:lang w:val="en-US" w:eastAsia="zh-CN"/>
        </w:rPr>
        <w:t>加强文化建设，在激发组织活力上下功夫</w:t>
      </w:r>
      <w:bookmarkEnd w:id="29"/>
      <w:bookmarkEnd w:id="30"/>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31" w:name="_Toc21302"/>
      <w:bookmarkStart w:id="32" w:name="_Toc17764"/>
      <w:r>
        <w:rPr>
          <w:rFonts w:hint="eastAsia" w:ascii="仿宋" w:hAnsi="仿宋" w:eastAsia="仿宋" w:cs="Times New Roman"/>
          <w:b w:val="0"/>
          <w:bCs w:val="0"/>
          <w:kern w:val="2"/>
          <w:sz w:val="32"/>
          <w:szCs w:val="32"/>
          <w:lang w:val="en-US" w:eastAsia="zh-CN" w:bidi="ar-SA"/>
        </w:rPr>
        <w:t>1.打造文化阵地。建立职工之家、职工书屋等文化阵地，建设咖啡屋、健身房等休闲场地，让干部职工在工作之余能有舒缓身心的地方。</w:t>
      </w:r>
      <w:bookmarkEnd w:id="31"/>
      <w:bookmarkEnd w:id="32"/>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33" w:name="_Toc18796"/>
      <w:bookmarkStart w:id="34" w:name="_Toc7236"/>
      <w:r>
        <w:rPr>
          <w:rFonts w:hint="eastAsia" w:ascii="仿宋" w:hAnsi="仿宋" w:eastAsia="仿宋" w:cs="Times New Roman"/>
          <w:b w:val="0"/>
          <w:bCs w:val="0"/>
          <w:kern w:val="2"/>
          <w:sz w:val="32"/>
          <w:szCs w:val="32"/>
          <w:lang w:val="en-US" w:eastAsia="zh-CN" w:bidi="ar-SA"/>
        </w:rPr>
        <w:t>2.深化文化内涵。以党的二十大、建州 70 周年、文明城市创建、清廉医院建设等重大活动为契机，及时更新宣传展板、电子显示屏等宣传阵地，形成独具特色的医院文化。在医师节、护士节、妇女节、春节等重要时间节点，拍摄抖音专刊，并通过微信公众号致以节日慰问和祝福，塑造医院自身形象、加强医院文化建设。反映儿科工作的微电影《天台的光亮》，参加四川省卫健委第七届微电影大赛。长安分院荣获 2022 年四川省工人先锋号荣誉称号，新冠定点治疗长安病区正在创建全国五一标兵巾帼岗。</w:t>
      </w:r>
      <w:bookmarkEnd w:id="33"/>
      <w:bookmarkEnd w:id="34"/>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35" w:name="_Toc1168"/>
      <w:bookmarkStart w:id="36" w:name="_Toc6206"/>
      <w:r>
        <w:rPr>
          <w:rFonts w:hint="eastAsia" w:ascii="仿宋" w:hAnsi="仿宋" w:eastAsia="仿宋" w:cs="Times New Roman"/>
          <w:b w:val="0"/>
          <w:bCs w:val="0"/>
          <w:kern w:val="2"/>
          <w:sz w:val="32"/>
          <w:szCs w:val="32"/>
          <w:lang w:val="en-US" w:eastAsia="zh-CN" w:bidi="ar-SA"/>
        </w:rPr>
        <w:t>3.丰富文化活动。以医师节、护士节、妇女节为契机，开展“医师手记”征文比赛、“手术小能手”外科青年医师技能比赛、“教学小能手”儿科小讲课比赛、首届护理创新大赛、“玫瑰书香”朗读比赛，进一步丰富医院文化活动。</w:t>
      </w:r>
      <w:bookmarkEnd w:id="35"/>
      <w:bookmarkEnd w:id="36"/>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37" w:name="_Toc5526"/>
      <w:bookmarkStart w:id="38" w:name="_Toc50"/>
      <w:bookmarkStart w:id="39" w:name="_Toc2642"/>
      <w:bookmarkStart w:id="40" w:name="_Toc28002"/>
      <w:r>
        <w:rPr>
          <w:rFonts w:hint="eastAsia" w:ascii="仿宋" w:hAnsi="仿宋" w:eastAsia="仿宋" w:cs="Times New Roman"/>
          <w:b w:val="0"/>
          <w:bCs w:val="0"/>
          <w:kern w:val="2"/>
          <w:sz w:val="32"/>
          <w:szCs w:val="32"/>
          <w:lang w:val="en-US" w:eastAsia="zh-CN" w:bidi="ar-SA"/>
        </w:rPr>
        <w:t>（七）</w:t>
      </w:r>
      <w:bookmarkEnd w:id="37"/>
      <w:bookmarkEnd w:id="38"/>
      <w:r>
        <w:rPr>
          <w:rFonts w:hint="eastAsia" w:ascii="仿宋" w:hAnsi="仿宋" w:eastAsia="仿宋" w:cs="Times New Roman"/>
          <w:b w:val="0"/>
          <w:bCs w:val="0"/>
          <w:kern w:val="2"/>
          <w:sz w:val="32"/>
          <w:szCs w:val="32"/>
          <w:lang w:val="en-US" w:eastAsia="zh-CN" w:bidi="ar-SA"/>
        </w:rPr>
        <w:t>加强基础建设，在提升服务能力上下功夫</w:t>
      </w:r>
      <w:bookmarkEnd w:id="39"/>
      <w:bookmarkEnd w:id="40"/>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仿宋" w:hAnsi="仿宋" w:eastAsia="仿宋" w:cs="Times New Roman"/>
          <w:b w:val="0"/>
          <w:bCs w:val="0"/>
          <w:kern w:val="2"/>
          <w:sz w:val="32"/>
          <w:szCs w:val="32"/>
          <w:lang w:val="en-US" w:eastAsia="zh-CN" w:bidi="ar-SA"/>
        </w:rPr>
      </w:pPr>
      <w:bookmarkStart w:id="41" w:name="_Toc32698"/>
      <w:bookmarkStart w:id="42" w:name="_Toc21600"/>
      <w:bookmarkStart w:id="43" w:name="_Toc11956"/>
      <w:bookmarkStart w:id="44" w:name="_Toc2697"/>
      <w:r>
        <w:rPr>
          <w:rFonts w:hint="eastAsia" w:ascii="仿宋" w:hAnsi="仿宋" w:eastAsia="仿宋" w:cs="Times New Roman"/>
          <w:b w:val="0"/>
          <w:bCs w:val="0"/>
          <w:kern w:val="2"/>
          <w:sz w:val="32"/>
          <w:szCs w:val="32"/>
          <w:lang w:val="en-US" w:eastAsia="zh-CN" w:bidi="ar-SA"/>
        </w:rPr>
        <w:t>1.加快推进新院区项目建设。新院区项目一期于 2022年 6 月获得州发改委正式立项批复，已完成勘察、设计招标，获得项目用地不动产权证及用地规划许可证。</w:t>
      </w:r>
      <w:bookmarkEnd w:id="41"/>
      <w:bookmarkEnd w:id="42"/>
    </w:p>
    <w:p>
      <w:pPr>
        <w:pStyle w:val="12"/>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s="Times New Roman"/>
          <w:b w:val="0"/>
          <w:bCs w:val="0"/>
          <w:kern w:val="2"/>
          <w:sz w:val="32"/>
          <w:szCs w:val="32"/>
          <w:lang w:val="en-US" w:eastAsia="zh-CN" w:bidi="ar-SA"/>
        </w:rPr>
        <w:t>2.加快推进危急重症综合救治中心（省级区域医疗中心）项目建设。危急重症综合救治中心（省级区域医疗中心）项目于2022 年 5 月获得立项批复，已通过方案设计联审报批、初步设计审查及施工图审查，并获得工程规划许可证。项目现场已完成打围、场平、临时用水、用电、营地建设、钢筋棚垫层浇筑、打</w:t>
      </w:r>
      <w:bookmarkEnd w:id="43"/>
      <w:bookmarkEnd w:id="44"/>
      <w:r>
        <w:rPr>
          <w:rFonts w:hint="eastAsia" w:ascii="仿宋" w:hAnsi="仿宋" w:eastAsia="仿宋" w:cs="Times New Roman"/>
          <w:b w:val="0"/>
          <w:bCs w:val="0"/>
          <w:kern w:val="2"/>
          <w:sz w:val="32"/>
          <w:szCs w:val="32"/>
          <w:lang w:val="en-US" w:eastAsia="zh-CN" w:bidi="ar-SA"/>
        </w:rPr>
        <w:t>降水井等工作。新的一年，院党委将坚持和加强党对公立医院的全面领导，全面落实新时代党的建设总要求和新时代党的组织路线，认真贯彻落实党的二十大精神、四川省委十二届二次全会精神和州委九届六次全会精神，把党建工作做到群众关心的热点上、体现到业务工作的落实上、放到作风建设的改进上，结合医院重点工作开展“党建+”等形式多样、特色鲜明的党建活动，以高质量党建推动公立医院高质量发展。</w:t>
      </w:r>
    </w:p>
    <w:p>
      <w:pPr>
        <w:pStyle w:val="4"/>
        <w:ind w:firstLine="320" w:firstLineChars="100"/>
        <w:rPr>
          <w:rFonts w:hint="eastAsia" w:ascii="黑体" w:hAnsi="黑体" w:eastAsia="黑体"/>
          <w:b w:val="0"/>
          <w:lang w:eastAsia="zh-CN"/>
        </w:rPr>
      </w:pPr>
      <w:bookmarkStart w:id="45" w:name="_Toc24053"/>
      <w:bookmarkStart w:id="46" w:name="_Toc10870"/>
      <w:r>
        <w:rPr>
          <w:rFonts w:hint="eastAsia" w:ascii="黑体" w:hAnsi="黑体" w:eastAsia="黑体"/>
          <w:b w:val="0"/>
        </w:rPr>
        <w:t>二、</w:t>
      </w:r>
      <w:bookmarkEnd w:id="25"/>
      <w:bookmarkEnd w:id="26"/>
      <w:bookmarkEnd w:id="45"/>
      <w:r>
        <w:rPr>
          <w:rFonts w:hint="eastAsia" w:ascii="黑体" w:hAnsi="黑体" w:eastAsia="黑体"/>
          <w:b w:val="0"/>
          <w:lang w:eastAsia="zh-CN"/>
        </w:rPr>
        <w:t>机构设置</w:t>
      </w:r>
      <w:bookmarkEnd w:id="46"/>
    </w:p>
    <w:p>
      <w:pPr>
        <w:pStyle w:val="2"/>
        <w:adjustRightInd w:val="0"/>
        <w:snapToGrid w:val="0"/>
        <w:spacing w:before="93" w:line="600" w:lineRule="exact"/>
        <w:ind w:firstLine="672" w:firstLineChars="210"/>
        <w:rPr>
          <w:rFonts w:hint="eastAsia" w:ascii="仿宋" w:hAnsi="仿宋" w:eastAsia="仿宋" w:cs="Times New Roman"/>
          <w:sz w:val="32"/>
          <w:szCs w:val="32"/>
        </w:rPr>
      </w:pPr>
      <w:r>
        <w:rPr>
          <w:rFonts w:hint="eastAsia" w:ascii="仿宋" w:hAnsi="仿宋" w:eastAsia="仿宋" w:cs="Times New Roman"/>
          <w:sz w:val="32"/>
          <w:szCs w:val="32"/>
          <w:lang w:eastAsia="zh-CN"/>
        </w:rPr>
        <w:t>凉山州第一人民医院</w:t>
      </w:r>
      <w:r>
        <w:rPr>
          <w:rFonts w:hint="eastAsia" w:ascii="仿宋" w:hAnsi="仿宋" w:eastAsia="仿宋" w:cs="Times New Roman"/>
          <w:sz w:val="32"/>
          <w:szCs w:val="32"/>
        </w:rPr>
        <w:t>下属单位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个，其中行政单位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个，参照公务员法管理的事业单位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个，其他事业单位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w:t>
      </w:r>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仿宋" w:hAnsi="仿宋" w:eastAsia="仿宋"/>
          <w:kern w:val="0"/>
          <w:sz w:val="32"/>
          <w:szCs w:val="32"/>
        </w:rPr>
      </w:pPr>
      <w:bookmarkStart w:id="47" w:name="_Toc899"/>
      <w:r>
        <w:rPr>
          <w:rFonts w:ascii="仿宋" w:hAnsi="仿宋" w:eastAsia="仿宋"/>
          <w:sz w:val="32"/>
          <w:szCs w:val="32"/>
        </w:rPr>
        <w:br w:type="page"/>
      </w:r>
      <w:bookmarkEnd w:id="47"/>
    </w:p>
    <w:p>
      <w:pPr>
        <w:pStyle w:val="3"/>
        <w:ind w:right="440"/>
        <w:jc w:val="center"/>
        <w:rPr>
          <w:rStyle w:val="25"/>
          <w:rFonts w:ascii="黑体" w:hAnsi="黑体" w:eastAsia="黑体"/>
          <w:b w:val="0"/>
          <w:bCs/>
        </w:rPr>
      </w:pPr>
      <w:bookmarkStart w:id="48" w:name="_Toc15377204"/>
      <w:bookmarkStart w:id="49" w:name="_Toc15396602"/>
      <w:bookmarkStart w:id="50" w:name="_Toc5705"/>
      <w:bookmarkStart w:id="51" w:name="_Toc30899"/>
      <w:r>
        <w:rPr>
          <w:rFonts w:hint="eastAsia" w:ascii="黑体" w:hAnsi="黑体" w:eastAsia="黑体"/>
          <w:b w:val="0"/>
        </w:rPr>
        <w:t>第二部分 202</w:t>
      </w:r>
      <w:r>
        <w:rPr>
          <w:rFonts w:hint="eastAsia" w:ascii="黑体" w:hAnsi="黑体" w:eastAsia="黑体"/>
          <w:b w:val="0"/>
          <w:lang w:val="en-US" w:eastAsia="zh-CN"/>
        </w:rPr>
        <w:t>2</w:t>
      </w:r>
      <w:r>
        <w:rPr>
          <w:rFonts w:hint="eastAsia" w:ascii="黑体" w:hAnsi="黑体" w:eastAsia="黑体"/>
          <w:b w:val="0"/>
        </w:rPr>
        <w:t>年度</w:t>
      </w:r>
      <w:r>
        <w:rPr>
          <w:rStyle w:val="25"/>
          <w:rFonts w:hint="eastAsia" w:ascii="黑体" w:hAnsi="黑体" w:eastAsia="黑体"/>
          <w:b w:val="0"/>
          <w:bCs/>
        </w:rPr>
        <w:t>单位决算情况说明</w:t>
      </w:r>
      <w:bookmarkEnd w:id="48"/>
      <w:bookmarkEnd w:id="49"/>
      <w:bookmarkEnd w:id="50"/>
      <w:bookmarkEnd w:id="51"/>
    </w:p>
    <w:p/>
    <w:p>
      <w:pPr>
        <w:pStyle w:val="24"/>
        <w:numPr>
          <w:ilvl w:val="0"/>
          <w:numId w:val="2"/>
        </w:numPr>
        <w:spacing w:line="600" w:lineRule="exact"/>
        <w:ind w:firstLineChars="0"/>
        <w:outlineLvl w:val="1"/>
        <w:rPr>
          <w:rStyle w:val="26"/>
          <w:rFonts w:ascii="黑体" w:hAnsi="黑体" w:eastAsia="黑体"/>
          <w:b w:val="0"/>
        </w:rPr>
      </w:pPr>
      <w:bookmarkStart w:id="52" w:name="_Toc14962"/>
      <w:bookmarkStart w:id="53" w:name="_Toc15377205"/>
      <w:bookmarkStart w:id="54" w:name="_Toc15396603"/>
      <w:bookmarkStart w:id="55" w:name="_Toc1906"/>
      <w:r>
        <w:rPr>
          <w:rFonts w:hint="eastAsia" w:ascii="黑体" w:hAnsi="黑体" w:eastAsia="黑体"/>
          <w:sz w:val="32"/>
          <w:szCs w:val="32"/>
        </w:rPr>
        <w:t>收</w:t>
      </w:r>
      <w:r>
        <w:rPr>
          <w:rStyle w:val="26"/>
          <w:rFonts w:hint="eastAsia" w:ascii="黑体" w:hAnsi="黑体" w:eastAsia="黑体"/>
          <w:b w:val="0"/>
        </w:rPr>
        <w:t>入支出决算总体情况说明</w:t>
      </w:r>
      <w:bookmarkEnd w:id="52"/>
      <w:bookmarkEnd w:id="53"/>
      <w:bookmarkEnd w:id="54"/>
      <w:bookmarkEnd w:id="5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年度收、支总计120247.22万元。与20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7008.13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2022年因疫情影响，收入减少，支出增多，无结余分配</w:t>
      </w:r>
      <w:r>
        <w:rPr>
          <w:rFonts w:hint="eastAsia" w:ascii="仿宋" w:hAnsi="仿宋" w:eastAsia="仿宋"/>
          <w:color w:val="auto"/>
          <w:sz w:val="32"/>
          <w:szCs w:val="32"/>
          <w:highlight w:val="none"/>
          <w:lang w:eastAsia="zh-CN"/>
        </w:rPr>
        <w:t>。</w:t>
      </w:r>
    </w:p>
    <w:p>
      <w:pPr>
        <w:pStyle w:val="2"/>
        <w:rPr>
          <w:rFonts w:hint="eastAsia"/>
          <w:lang w:eastAsia="zh-CN"/>
        </w:rPr>
      </w:pPr>
    </w:p>
    <w:p>
      <w:pPr>
        <w:spacing w:line="240" w:lineRule="auto"/>
        <w:ind w:firstLine="420" w:firstLineChars="200"/>
        <w:jc w:val="center"/>
        <w:rPr>
          <w:rFonts w:hint="eastAsia"/>
          <w:lang w:eastAsia="zh-CN"/>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56" w:name="_Toc28162"/>
      <w:bookmarkStart w:id="57" w:name="_Toc8751"/>
      <w:bookmarkStart w:id="58" w:name="_Toc15377206"/>
      <w:bookmarkStart w:id="59" w:name="_Toc15396604"/>
      <w:r>
        <w:rPr>
          <w:rFonts w:hint="eastAsia" w:ascii="黑体" w:hAnsi="黑体" w:eastAsia="黑体"/>
          <w:sz w:val="32"/>
          <w:szCs w:val="32"/>
        </w:rPr>
        <w:t>收</w:t>
      </w:r>
      <w:r>
        <w:rPr>
          <w:rStyle w:val="26"/>
          <w:rFonts w:hint="eastAsia" w:ascii="黑体" w:hAnsi="黑体" w:eastAsia="黑体"/>
          <w:b w:val="0"/>
        </w:rPr>
        <w:t>入决算情况说明</w:t>
      </w:r>
      <w:bookmarkEnd w:id="56"/>
      <w:bookmarkEnd w:id="57"/>
      <w:bookmarkEnd w:id="58"/>
      <w:bookmarkEnd w:id="59"/>
    </w:p>
    <w:p>
      <w:pPr>
        <w:spacing w:line="600" w:lineRule="exact"/>
        <w:ind w:firstLine="640" w:firstLineChars="200"/>
        <w:outlineLvl w:val="1"/>
        <w:rPr>
          <w:rFonts w:ascii="仿宋" w:hAnsi="仿宋" w:eastAsia="仿宋"/>
          <w:sz w:val="32"/>
          <w:szCs w:val="32"/>
        </w:rPr>
      </w:pPr>
      <w:bookmarkStart w:id="60" w:name="_Toc12029"/>
      <w:bookmarkStart w:id="61" w:name="_Toc17496"/>
      <w:bookmarkStart w:id="62" w:name="_Toc9634"/>
      <w:bookmarkStart w:id="63" w:name="_Toc14745"/>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113667.71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9725.52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97215.98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85.53</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6726.21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5.91</w:t>
      </w:r>
      <w:r>
        <w:rPr>
          <w:rFonts w:ascii="仿宋" w:hAnsi="仿宋" w:eastAsia="仿宋"/>
          <w:color w:val="000000"/>
          <w:sz w:val="32"/>
          <w:szCs w:val="32"/>
        </w:rPr>
        <w:t>%</w:t>
      </w:r>
      <w:r>
        <w:rPr>
          <w:rFonts w:hint="eastAsia" w:ascii="仿宋" w:hAnsi="仿宋" w:eastAsia="仿宋"/>
          <w:color w:val="000000"/>
          <w:sz w:val="32"/>
          <w:szCs w:val="32"/>
        </w:rPr>
        <w:t>。</w:t>
      </w:r>
      <w:bookmarkEnd w:id="60"/>
      <w:bookmarkEnd w:id="61"/>
      <w:bookmarkEnd w:id="62"/>
      <w:bookmarkEnd w:id="63"/>
    </w:p>
    <w:p>
      <w:pPr>
        <w:spacing w:line="240" w:lineRule="auto"/>
        <w:ind w:firstLine="643" w:firstLineChars="200"/>
        <w:outlineLvl w:val="1"/>
        <w:rPr>
          <w:rFonts w:hint="eastAsia" w:ascii="仿宋" w:hAnsi="仿宋" w:eastAsia="仿宋"/>
          <w:b/>
          <w:sz w:val="32"/>
          <w:szCs w:val="32"/>
        </w:rPr>
      </w:pPr>
      <w:bookmarkStart w:id="64" w:name="_Toc7155"/>
      <w:bookmarkStart w:id="65" w:name="_Toc24400"/>
      <w:bookmarkStart w:id="66" w:name="_Toc9694"/>
      <w:bookmarkStart w:id="67" w:name="_Toc14958"/>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w:t>
      </w:r>
      <w:bookmarkEnd w:id="64"/>
      <w:bookmarkEnd w:id="65"/>
      <w:bookmarkEnd w:id="66"/>
      <w:bookmarkEnd w:id="67"/>
    </w:p>
    <w:p>
      <w:pPr>
        <w:spacing w:line="240" w:lineRule="auto"/>
        <w:ind w:firstLine="643" w:firstLineChars="200"/>
        <w:outlineLvl w:val="1"/>
      </w:pPr>
      <w:bookmarkStart w:id="68" w:name="_Toc15539"/>
      <w:bookmarkStart w:id="69" w:name="_Toc18616"/>
      <w:bookmarkStart w:id="70" w:name="_Toc13507"/>
      <w:bookmarkStart w:id="71" w:name="_Toc23358"/>
      <w:r>
        <w:rPr>
          <w:rFonts w:hint="eastAsia" w:ascii="仿宋" w:hAnsi="仿宋" w:eastAsia="仿宋"/>
          <w:b/>
          <w:sz w:val="32"/>
          <w:szCs w:val="32"/>
        </w:rPr>
        <w:t>入。</w:t>
      </w:r>
      <w:r>
        <w:rPr>
          <w:rFonts w:ascii="仿宋" w:hAnsi="仿宋" w:eastAsia="仿宋"/>
          <w:b/>
          <w:sz w:val="32"/>
          <w:szCs w:val="32"/>
        </w:rPr>
        <w:t>）</w:t>
      </w:r>
      <w:bookmarkEnd w:id="68"/>
      <w:bookmarkEnd w:id="69"/>
      <w:bookmarkEnd w:id="70"/>
      <w:bookmarkEnd w:id="71"/>
    </w:p>
    <w:p>
      <w:pPr>
        <w:spacing w:line="240" w:lineRule="auto"/>
        <w:ind w:firstLine="420" w:firstLineChars="200"/>
        <w:jc w:val="center"/>
        <w:outlineLvl w:val="1"/>
        <w:rPr>
          <w:rFonts w:hint="eastAsia" w:ascii="仿宋" w:hAnsi="仿宋" w:eastAsia="仿宋"/>
          <w:sz w:val="32"/>
          <w:szCs w:val="32"/>
        </w:rPr>
      </w:pPr>
      <w:bookmarkStart w:id="72" w:name="_Toc31093"/>
      <w:bookmarkStart w:id="73" w:name="_Toc25442"/>
      <w:bookmarkStart w:id="74" w:name="_Toc5364"/>
      <w:bookmarkStart w:id="75" w:name="_Toc2367"/>
      <w:r>
        <w:drawing>
          <wp:inline distT="0" distB="0" distL="114300" distR="114300">
            <wp:extent cx="4372610" cy="2534285"/>
            <wp:effectExtent l="4445" t="4445" r="23495" b="13970"/>
            <wp:docPr id="1" name="图表 3" descr="7b0a202020202263686172745265734964223a2022323034373535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72"/>
      <w:bookmarkEnd w:id="73"/>
      <w:bookmarkEnd w:id="74"/>
      <w:bookmarkEnd w:id="75"/>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76" w:name="_Toc19489"/>
      <w:bookmarkStart w:id="77" w:name="_Toc15377207"/>
      <w:bookmarkStart w:id="78" w:name="_Toc15396605"/>
      <w:bookmarkStart w:id="79" w:name="_Toc16642"/>
      <w:r>
        <w:rPr>
          <w:rFonts w:hint="eastAsia" w:ascii="黑体" w:hAnsi="黑体" w:eastAsia="黑体"/>
          <w:sz w:val="32"/>
          <w:szCs w:val="32"/>
        </w:rPr>
        <w:t>支</w:t>
      </w:r>
      <w:r>
        <w:rPr>
          <w:rStyle w:val="26"/>
          <w:rFonts w:hint="eastAsia" w:ascii="黑体" w:hAnsi="黑体" w:eastAsia="黑体"/>
          <w:b w:val="0"/>
        </w:rPr>
        <w:t>出决算情况说明</w:t>
      </w:r>
      <w:bookmarkEnd w:id="76"/>
      <w:bookmarkEnd w:id="77"/>
      <w:bookmarkEnd w:id="78"/>
      <w:bookmarkEnd w:id="79"/>
    </w:p>
    <w:p>
      <w:pPr>
        <w:spacing w:line="600" w:lineRule="exact"/>
        <w:ind w:firstLine="640" w:firstLineChars="200"/>
        <w:outlineLvl w:val="1"/>
        <w:rPr>
          <w:rFonts w:ascii="仿宋" w:hAnsi="仿宋" w:eastAsia="仿宋"/>
          <w:sz w:val="32"/>
          <w:szCs w:val="32"/>
        </w:rPr>
      </w:pPr>
      <w:bookmarkStart w:id="80" w:name="_Toc13483"/>
      <w:bookmarkStart w:id="81" w:name="_Toc32360"/>
      <w:bookmarkStart w:id="82" w:name="_Toc28583"/>
      <w:bookmarkStart w:id="83" w:name="_Toc1040"/>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年本年支出合计</w:t>
      </w:r>
      <w:r>
        <w:rPr>
          <w:rFonts w:hint="eastAsia" w:ascii="仿宋" w:hAnsi="仿宋" w:eastAsia="仿宋"/>
          <w:color w:val="000000"/>
          <w:sz w:val="32"/>
          <w:szCs w:val="32"/>
          <w:lang w:val="en-US" w:eastAsia="zh-CN"/>
        </w:rPr>
        <w:t>120247.22</w:t>
      </w:r>
      <w:r>
        <w:rPr>
          <w:rFonts w:hint="eastAsia" w:ascii="仿宋" w:hAnsi="仿宋" w:eastAsia="仿宋"/>
          <w:sz w:val="32"/>
          <w:szCs w:val="32"/>
        </w:rPr>
        <w:t>万元，其中：基本支出</w:t>
      </w:r>
      <w:r>
        <w:rPr>
          <w:rFonts w:hint="eastAsia" w:ascii="仿宋" w:hAnsi="仿宋" w:eastAsia="仿宋"/>
          <w:sz w:val="32"/>
          <w:szCs w:val="32"/>
          <w:lang w:val="en-US" w:eastAsia="zh-CN"/>
        </w:rPr>
        <w:t>116534.19</w:t>
      </w:r>
      <w:r>
        <w:rPr>
          <w:rFonts w:hint="eastAsia" w:ascii="仿宋" w:hAnsi="仿宋" w:eastAsia="仿宋"/>
          <w:sz w:val="32"/>
          <w:szCs w:val="32"/>
        </w:rPr>
        <w:t>万元，占96.9</w:t>
      </w:r>
      <w:r>
        <w:rPr>
          <w:rFonts w:hint="eastAsia" w:ascii="仿宋" w:hAnsi="仿宋" w:eastAsia="仿宋"/>
          <w:sz w:val="32"/>
          <w:szCs w:val="32"/>
          <w:lang w:val="en-US" w:eastAsia="zh-CN"/>
        </w:rPr>
        <w:t>1</w:t>
      </w:r>
      <w:r>
        <w:rPr>
          <w:rFonts w:hint="eastAsia" w:ascii="仿宋" w:hAnsi="仿宋" w:eastAsia="仿宋"/>
          <w:sz w:val="32"/>
          <w:szCs w:val="32"/>
        </w:rPr>
        <w:t>%；项目支出3</w:t>
      </w:r>
      <w:r>
        <w:rPr>
          <w:rFonts w:hint="eastAsia" w:ascii="仿宋" w:hAnsi="仿宋" w:eastAsia="仿宋"/>
          <w:sz w:val="32"/>
          <w:szCs w:val="32"/>
          <w:lang w:val="en-US" w:eastAsia="zh-CN"/>
        </w:rPr>
        <w:t>713.03</w:t>
      </w:r>
      <w:r>
        <w:rPr>
          <w:rFonts w:hint="eastAsia" w:ascii="仿宋" w:hAnsi="仿宋" w:eastAsia="仿宋"/>
          <w:sz w:val="32"/>
          <w:szCs w:val="32"/>
        </w:rPr>
        <w:t>万元，占3.0</w:t>
      </w:r>
      <w:r>
        <w:rPr>
          <w:rFonts w:hint="eastAsia" w:ascii="仿宋" w:hAnsi="仿宋" w:eastAsia="仿宋"/>
          <w:sz w:val="32"/>
          <w:szCs w:val="32"/>
          <w:lang w:val="en-US" w:eastAsia="zh-CN"/>
        </w:rPr>
        <w:t>9</w:t>
      </w:r>
      <w:r>
        <w:rPr>
          <w:rFonts w:hint="eastAsia" w:ascii="仿宋" w:hAnsi="仿宋" w:eastAsia="仿宋"/>
          <w:sz w:val="32"/>
          <w:szCs w:val="32"/>
        </w:rPr>
        <w:t>%；上缴上级支出0万元，占0%；经营支出0万元，占0%；对附属单位补助支出0万元，占0%。</w:t>
      </w:r>
      <w:bookmarkEnd w:id="80"/>
      <w:bookmarkEnd w:id="81"/>
      <w:bookmarkEnd w:id="82"/>
      <w:bookmarkEnd w:id="83"/>
    </w:p>
    <w:p>
      <w:pPr>
        <w:spacing w:line="600" w:lineRule="exact"/>
        <w:ind w:firstLine="643" w:firstLineChars="200"/>
        <w:outlineLvl w:val="1"/>
        <w:rPr>
          <w:rFonts w:hint="eastAsia" w:ascii="仿宋" w:hAnsi="仿宋" w:eastAsia="仿宋"/>
          <w:b/>
          <w:sz w:val="32"/>
          <w:szCs w:val="32"/>
        </w:rPr>
      </w:pPr>
      <w:bookmarkStart w:id="84" w:name="_Toc7648"/>
      <w:bookmarkStart w:id="85" w:name="_Toc25307"/>
      <w:bookmarkStart w:id="86" w:name="_Toc29351"/>
      <w:bookmarkStart w:id="87" w:name="_Toc11473"/>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84"/>
      <w:bookmarkEnd w:id="85"/>
      <w:bookmarkEnd w:id="86"/>
      <w:bookmarkEnd w:id="87"/>
    </w:p>
    <w:p>
      <w:pPr>
        <w:pStyle w:val="2"/>
        <w:jc w:val="center"/>
        <w:rPr>
          <w:rFonts w:hint="eastAsia" w:eastAsia="仿宋"/>
          <w:lang w:eastAsia="zh-CN"/>
        </w:rPr>
      </w:pPr>
      <w:r>
        <w:drawing>
          <wp:inline distT="0" distB="0" distL="114300" distR="114300">
            <wp:extent cx="4219575" cy="2505710"/>
            <wp:effectExtent l="4445" t="4445" r="5080" b="61595"/>
            <wp:docPr id="2" name="图表 5" descr="7b0a202020202263686172745265734964223a2022323034373630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outlineLvl w:val="1"/>
        <w:rPr>
          <w:rFonts w:ascii="仿宋" w:hAnsi="仿宋" w:eastAsia="仿宋"/>
          <w:sz w:val="32"/>
          <w:szCs w:val="32"/>
        </w:rPr>
      </w:pPr>
      <w:bookmarkStart w:id="88" w:name="_Toc2561"/>
      <w:bookmarkStart w:id="89" w:name="_Toc28804"/>
      <w:bookmarkStart w:id="90" w:name="_Toc15616"/>
      <w:bookmarkStart w:id="91" w:name="_Toc1740"/>
      <w:r>
        <w:rPr>
          <w:rFonts w:hint="eastAsia" w:ascii="仿宋" w:hAnsi="仿宋" w:eastAsia="仿宋"/>
          <w:sz w:val="32"/>
          <w:szCs w:val="32"/>
        </w:rPr>
        <w:t>（图3：支出决算结构图）</w:t>
      </w:r>
      <w:bookmarkEnd w:id="88"/>
      <w:bookmarkEnd w:id="89"/>
      <w:bookmarkEnd w:id="90"/>
      <w:bookmarkEnd w:id="91"/>
    </w:p>
    <w:p>
      <w:pPr>
        <w:spacing w:line="600" w:lineRule="exact"/>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92" w:name="_Toc17849"/>
      <w:bookmarkStart w:id="93" w:name="_Toc9351"/>
      <w:bookmarkStart w:id="94" w:name="_Toc15396606"/>
      <w:bookmarkStart w:id="9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92"/>
      <w:bookmarkEnd w:id="93"/>
      <w:bookmarkEnd w:id="94"/>
      <w:bookmarkEnd w:id="95"/>
    </w:p>
    <w:p>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w:t>
      </w:r>
      <w:r>
        <w:rPr>
          <w:rFonts w:hint="eastAsia" w:ascii="仿宋" w:hAnsi="仿宋" w:eastAsia="仿宋"/>
          <w:sz w:val="32"/>
          <w:szCs w:val="32"/>
          <w:lang w:eastAsia="zh-CN"/>
        </w:rPr>
        <w:t>、</w:t>
      </w:r>
      <w:r>
        <w:rPr>
          <w:rFonts w:hint="eastAsia" w:ascii="仿宋" w:hAnsi="仿宋" w:eastAsia="仿宋"/>
          <w:sz w:val="32"/>
          <w:szCs w:val="32"/>
        </w:rPr>
        <w:t>支总计</w:t>
      </w:r>
      <w:r>
        <w:rPr>
          <w:rFonts w:hint="eastAsia" w:ascii="仿宋" w:hAnsi="仿宋" w:eastAsia="仿宋"/>
          <w:sz w:val="32"/>
          <w:szCs w:val="32"/>
          <w:lang w:val="en-US" w:eastAsia="zh-CN"/>
        </w:rPr>
        <w:t>9725.52</w:t>
      </w:r>
      <w:r>
        <w:rPr>
          <w:rFonts w:hint="eastAsia" w:ascii="仿宋" w:hAnsi="仿宋" w:eastAsia="仿宋"/>
          <w:sz w:val="32"/>
          <w:szCs w:val="32"/>
        </w:rPr>
        <w:t>万元。与202</w:t>
      </w:r>
      <w:r>
        <w:rPr>
          <w:rFonts w:hint="eastAsia" w:ascii="仿宋" w:hAnsi="仿宋" w:eastAsia="仿宋"/>
          <w:sz w:val="32"/>
          <w:szCs w:val="32"/>
          <w:lang w:val="en-US" w:eastAsia="zh-CN"/>
        </w:rPr>
        <w:t>1</w:t>
      </w:r>
      <w:r>
        <w:rPr>
          <w:rFonts w:hint="eastAsia" w:ascii="仿宋" w:hAnsi="仿宋" w:eastAsia="仿宋"/>
          <w:sz w:val="32"/>
          <w:szCs w:val="32"/>
        </w:rPr>
        <w:t>年相比，财政拨款收</w:t>
      </w:r>
      <w:r>
        <w:rPr>
          <w:rFonts w:hint="eastAsia" w:ascii="仿宋" w:hAnsi="仿宋" w:eastAsia="仿宋"/>
          <w:sz w:val="32"/>
          <w:szCs w:val="32"/>
          <w:lang w:eastAsia="zh-CN"/>
        </w:rPr>
        <w:t>、</w:t>
      </w:r>
      <w:r>
        <w:rPr>
          <w:rFonts w:hint="eastAsia" w:ascii="仿宋" w:hAnsi="仿宋" w:eastAsia="仿宋"/>
          <w:sz w:val="32"/>
          <w:szCs w:val="32"/>
        </w:rPr>
        <w:t>支总计</w:t>
      </w:r>
      <w:r>
        <w:rPr>
          <w:rFonts w:hint="eastAsia" w:ascii="仿宋" w:hAnsi="仿宋" w:eastAsia="仿宋"/>
          <w:sz w:val="32"/>
          <w:szCs w:val="32"/>
          <w:lang w:eastAsia="zh-CN"/>
        </w:rPr>
        <w:t>各</w:t>
      </w:r>
      <w:r>
        <w:rPr>
          <w:rFonts w:hint="eastAsia" w:ascii="仿宋" w:hAnsi="仿宋" w:eastAsia="仿宋"/>
          <w:sz w:val="32"/>
          <w:szCs w:val="32"/>
        </w:rPr>
        <w:t>增加</w:t>
      </w:r>
      <w:r>
        <w:rPr>
          <w:rFonts w:hint="eastAsia" w:ascii="仿宋" w:hAnsi="仿宋" w:eastAsia="仿宋"/>
          <w:sz w:val="32"/>
          <w:szCs w:val="32"/>
          <w:lang w:val="en-US" w:eastAsia="zh-CN"/>
        </w:rPr>
        <w:t>16.66</w:t>
      </w:r>
      <w:r>
        <w:rPr>
          <w:rFonts w:hint="eastAsia" w:ascii="仿宋" w:hAnsi="仿宋" w:eastAsia="仿宋"/>
          <w:sz w:val="32"/>
          <w:szCs w:val="32"/>
        </w:rPr>
        <w:t>万元，增长</w:t>
      </w:r>
      <w:r>
        <w:rPr>
          <w:rFonts w:hint="eastAsia" w:ascii="仿宋" w:hAnsi="仿宋" w:eastAsia="仿宋"/>
          <w:sz w:val="32"/>
          <w:szCs w:val="32"/>
          <w:lang w:val="en-US" w:eastAsia="zh-CN"/>
        </w:rPr>
        <w:t>0.17</w:t>
      </w:r>
      <w:r>
        <w:rPr>
          <w:rFonts w:hint="eastAsia" w:ascii="仿宋" w:hAnsi="仿宋" w:eastAsia="仿宋"/>
          <w:sz w:val="32"/>
          <w:szCs w:val="32"/>
        </w:rPr>
        <w:t>%。主要变动原因是项目</w:t>
      </w:r>
      <w:r>
        <w:rPr>
          <w:rFonts w:hint="eastAsia" w:ascii="仿宋" w:hAnsi="仿宋" w:eastAsia="仿宋"/>
          <w:sz w:val="32"/>
          <w:szCs w:val="32"/>
          <w:lang w:eastAsia="zh-CN"/>
        </w:rPr>
        <w:t>收入、</w:t>
      </w:r>
      <w:r>
        <w:rPr>
          <w:rFonts w:hint="eastAsia" w:ascii="仿宋" w:hAnsi="仿宋" w:eastAsia="仿宋"/>
          <w:sz w:val="32"/>
          <w:szCs w:val="32"/>
        </w:rPr>
        <w:t>支出增加了</w:t>
      </w:r>
      <w:r>
        <w:rPr>
          <w:rFonts w:hint="eastAsia" w:ascii="仿宋" w:hAnsi="仿宋" w:eastAsia="仿宋"/>
          <w:sz w:val="32"/>
          <w:szCs w:val="32"/>
          <w:lang w:val="en-US" w:eastAsia="zh-CN"/>
        </w:rPr>
        <w:t>220.78</w:t>
      </w:r>
      <w:r>
        <w:rPr>
          <w:rFonts w:hint="eastAsia" w:ascii="仿宋" w:hAnsi="仿宋" w:eastAsia="仿宋"/>
          <w:sz w:val="32"/>
          <w:szCs w:val="32"/>
        </w:rPr>
        <w:t>万元，</w:t>
      </w:r>
      <w:r>
        <w:rPr>
          <w:rFonts w:hint="eastAsia" w:ascii="仿宋" w:hAnsi="仿宋" w:eastAsia="仿宋"/>
          <w:sz w:val="32"/>
          <w:szCs w:val="32"/>
          <w:lang w:eastAsia="zh-CN"/>
        </w:rPr>
        <w:t>基本收入、支出减少了</w:t>
      </w:r>
      <w:r>
        <w:rPr>
          <w:rFonts w:hint="eastAsia" w:ascii="仿宋" w:hAnsi="仿宋" w:eastAsia="仿宋"/>
          <w:sz w:val="32"/>
          <w:szCs w:val="32"/>
          <w:lang w:val="en-US" w:eastAsia="zh-CN"/>
        </w:rPr>
        <w:t>204.12万元</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240" w:lineRule="auto"/>
        <w:jc w:val="center"/>
        <w:rPr>
          <w:rFonts w:hint="eastAsia" w:ascii="仿宋" w:hAnsi="仿宋" w:eastAsia="仿宋"/>
          <w:sz w:val="32"/>
          <w:szCs w:val="32"/>
          <w:lang w:eastAsia="zh-CN"/>
        </w:rPr>
      </w:pPr>
      <w:r>
        <w:drawing>
          <wp:inline distT="0" distB="0" distL="114300" distR="114300">
            <wp:extent cx="4381500" cy="257175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96" w:name="_Toc7478"/>
      <w:bookmarkStart w:id="97" w:name="_Toc15396607"/>
      <w:bookmarkStart w:id="98" w:name="_Toc15377209"/>
      <w:bookmarkStart w:id="99" w:name="_Toc21858"/>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96"/>
      <w:bookmarkEnd w:id="97"/>
      <w:bookmarkEnd w:id="98"/>
      <w:bookmarkEnd w:id="99"/>
    </w:p>
    <w:p>
      <w:pPr>
        <w:spacing w:line="600" w:lineRule="exact"/>
        <w:ind w:firstLine="643" w:firstLineChars="200"/>
        <w:outlineLvl w:val="2"/>
        <w:rPr>
          <w:rFonts w:ascii="仿宋" w:hAnsi="仿宋" w:eastAsia="仿宋"/>
          <w:b/>
          <w:sz w:val="32"/>
          <w:szCs w:val="32"/>
        </w:rPr>
      </w:pPr>
      <w:bookmarkStart w:id="100" w:name="_Toc15377210"/>
      <w:bookmarkStart w:id="101" w:name="_Toc5625"/>
      <w:r>
        <w:rPr>
          <w:rFonts w:hint="eastAsia" w:ascii="仿宋" w:hAnsi="仿宋" w:eastAsia="仿宋"/>
          <w:b/>
          <w:sz w:val="32"/>
          <w:szCs w:val="32"/>
        </w:rPr>
        <w:t>（一）一般公共预算财政拨款支出决算总体情况</w:t>
      </w:r>
      <w:bookmarkEnd w:id="100"/>
      <w:bookmarkEnd w:id="101"/>
    </w:p>
    <w:p>
      <w:pPr>
        <w:spacing w:line="360" w:lineRule="auto"/>
        <w:ind w:firstLine="640" w:firstLineChars="200"/>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年一般公共预算财政拨款支出97</w:t>
      </w:r>
      <w:r>
        <w:rPr>
          <w:rFonts w:hint="eastAsia" w:ascii="仿宋" w:hAnsi="仿宋" w:eastAsia="仿宋"/>
          <w:sz w:val="32"/>
          <w:szCs w:val="32"/>
          <w:lang w:val="en-US" w:eastAsia="zh-CN"/>
        </w:rPr>
        <w:t>25.52</w:t>
      </w:r>
      <w:r>
        <w:rPr>
          <w:rFonts w:hint="eastAsia" w:ascii="仿宋" w:hAnsi="仿宋" w:eastAsia="仿宋"/>
          <w:sz w:val="32"/>
          <w:szCs w:val="32"/>
        </w:rPr>
        <w:t>万元，占本年支出合计的8.</w:t>
      </w:r>
      <w:r>
        <w:rPr>
          <w:rFonts w:hint="eastAsia" w:ascii="仿宋" w:hAnsi="仿宋" w:eastAsia="仿宋"/>
          <w:sz w:val="32"/>
          <w:szCs w:val="32"/>
          <w:lang w:val="en-US" w:eastAsia="zh-CN"/>
        </w:rPr>
        <w:t>09</w:t>
      </w:r>
      <w:r>
        <w:rPr>
          <w:rFonts w:hint="eastAsia" w:ascii="仿宋" w:hAnsi="仿宋" w:eastAsia="仿宋"/>
          <w:sz w:val="32"/>
          <w:szCs w:val="32"/>
        </w:rPr>
        <w:t>%。与202</w:t>
      </w:r>
      <w:r>
        <w:rPr>
          <w:rFonts w:hint="eastAsia" w:ascii="仿宋" w:hAnsi="仿宋" w:eastAsia="仿宋"/>
          <w:sz w:val="32"/>
          <w:szCs w:val="32"/>
          <w:lang w:val="en-US" w:eastAsia="zh-CN"/>
        </w:rPr>
        <w:t>1</w:t>
      </w:r>
      <w:r>
        <w:rPr>
          <w:rFonts w:hint="eastAsia" w:ascii="仿宋" w:hAnsi="仿宋" w:eastAsia="仿宋"/>
          <w:sz w:val="32"/>
          <w:szCs w:val="32"/>
        </w:rPr>
        <w:t>年的</w:t>
      </w:r>
      <w:r>
        <w:rPr>
          <w:rFonts w:hint="eastAsia" w:ascii="仿宋" w:hAnsi="仿宋" w:eastAsia="仿宋"/>
          <w:sz w:val="32"/>
          <w:szCs w:val="32"/>
          <w:lang w:val="en-US" w:eastAsia="zh-CN"/>
        </w:rPr>
        <w:t>9708.86</w:t>
      </w:r>
      <w:r>
        <w:rPr>
          <w:rFonts w:hint="eastAsia" w:ascii="仿宋" w:hAnsi="仿宋" w:eastAsia="仿宋"/>
          <w:sz w:val="32"/>
          <w:szCs w:val="32"/>
        </w:rPr>
        <w:t>万元相比，一般公共预算财政拨款</w:t>
      </w:r>
      <w:r>
        <w:rPr>
          <w:rFonts w:hint="eastAsia" w:ascii="仿宋" w:hAnsi="仿宋" w:eastAsia="仿宋"/>
          <w:sz w:val="32"/>
          <w:szCs w:val="32"/>
          <w:lang w:eastAsia="zh-CN"/>
        </w:rPr>
        <w:t>增加</w:t>
      </w:r>
      <w:r>
        <w:rPr>
          <w:rFonts w:hint="eastAsia" w:ascii="仿宋" w:hAnsi="仿宋" w:eastAsia="仿宋"/>
          <w:sz w:val="32"/>
          <w:szCs w:val="32"/>
        </w:rPr>
        <w:t>16</w:t>
      </w:r>
      <w:r>
        <w:rPr>
          <w:rFonts w:hint="eastAsia" w:ascii="仿宋" w:hAnsi="仿宋" w:eastAsia="仿宋"/>
          <w:sz w:val="32"/>
          <w:szCs w:val="32"/>
          <w:lang w:val="en-US" w:eastAsia="zh-CN"/>
        </w:rPr>
        <w:t>.66</w:t>
      </w:r>
      <w:r>
        <w:rPr>
          <w:rFonts w:hint="eastAsia" w:ascii="仿宋" w:hAnsi="仿宋" w:eastAsia="仿宋"/>
          <w:sz w:val="32"/>
          <w:szCs w:val="32"/>
        </w:rPr>
        <w:t>万元，增长</w:t>
      </w:r>
      <w:r>
        <w:rPr>
          <w:rFonts w:hint="eastAsia" w:ascii="仿宋" w:hAnsi="仿宋" w:eastAsia="仿宋"/>
          <w:sz w:val="32"/>
          <w:szCs w:val="32"/>
          <w:lang w:val="en-US" w:eastAsia="zh-CN"/>
        </w:rPr>
        <w:t>0.17</w:t>
      </w:r>
      <w:r>
        <w:rPr>
          <w:rFonts w:hint="eastAsia" w:ascii="仿宋" w:hAnsi="仿宋" w:eastAsia="仿宋"/>
          <w:sz w:val="32"/>
          <w:szCs w:val="32"/>
        </w:rPr>
        <w:t>%。主要变动原因一般公共预算财政拨款基本支出</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204.12</w:t>
      </w:r>
      <w:r>
        <w:rPr>
          <w:rFonts w:hint="eastAsia" w:ascii="仿宋" w:hAnsi="仿宋" w:eastAsia="仿宋"/>
          <w:sz w:val="32"/>
          <w:szCs w:val="32"/>
        </w:rPr>
        <w:t>万元，一般公共预算财政拨款项目支出增加了</w:t>
      </w:r>
      <w:r>
        <w:rPr>
          <w:rFonts w:hint="eastAsia" w:ascii="仿宋" w:hAnsi="仿宋" w:eastAsia="仿宋"/>
          <w:sz w:val="32"/>
          <w:szCs w:val="32"/>
          <w:lang w:val="en-US" w:eastAsia="zh-CN"/>
        </w:rPr>
        <w:t>220.78</w:t>
      </w:r>
      <w:r>
        <w:rPr>
          <w:rFonts w:hint="eastAsia" w:ascii="仿宋" w:hAnsi="仿宋" w:eastAsia="仿宋"/>
          <w:sz w:val="32"/>
          <w:szCs w:val="32"/>
        </w:rPr>
        <w:t>万元。</w:t>
      </w:r>
    </w:p>
    <w:p>
      <w:pPr>
        <w:spacing w:line="240" w:lineRule="auto"/>
        <w:jc w:val="center"/>
        <w:rPr>
          <w:rFonts w:hint="eastAsia" w:ascii="仿宋" w:hAnsi="仿宋" w:eastAsia="仿宋"/>
          <w:color w:val="000000"/>
          <w:sz w:val="32"/>
          <w:szCs w:val="32"/>
          <w:lang w:eastAsia="zh-CN"/>
        </w:rPr>
      </w:pPr>
      <w:r>
        <w:drawing>
          <wp:inline distT="0" distB="0" distL="114300" distR="114300">
            <wp:extent cx="4572000" cy="2743200"/>
            <wp:effectExtent l="4445" t="4445" r="14605" b="14605"/>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uto"/>
        <w:jc w:val="center"/>
        <w:rPr>
          <w:rFonts w:hint="eastAsia"/>
        </w:rPr>
      </w:pPr>
      <w:r>
        <w:rPr>
          <w:rFonts w:hint="eastAsia" w:ascii="仿宋" w:hAnsi="仿宋" w:eastAsia="仿宋"/>
          <w:sz w:val="32"/>
          <w:szCs w:val="32"/>
        </w:rPr>
        <w:t>（图5：一般公共预算财政拨款支出决算变动情况）</w:t>
      </w:r>
      <w:bookmarkStart w:id="102" w:name="_Toc15377211"/>
    </w:p>
    <w:p>
      <w:pPr>
        <w:pStyle w:val="2"/>
        <w:spacing w:line="240" w:lineRule="auto"/>
        <w:rPr>
          <w:rFonts w:hint="eastAsia"/>
        </w:rPr>
      </w:pPr>
    </w:p>
    <w:p>
      <w:pPr>
        <w:spacing w:line="600" w:lineRule="exact"/>
        <w:ind w:firstLine="643" w:firstLineChars="200"/>
        <w:outlineLvl w:val="2"/>
        <w:rPr>
          <w:rFonts w:ascii="仿宋" w:hAnsi="仿宋" w:eastAsia="仿宋"/>
          <w:b/>
          <w:sz w:val="32"/>
          <w:szCs w:val="32"/>
        </w:rPr>
      </w:pPr>
      <w:bookmarkStart w:id="103" w:name="_Toc29041"/>
      <w:r>
        <w:rPr>
          <w:rFonts w:hint="eastAsia" w:ascii="仿宋" w:hAnsi="仿宋" w:eastAsia="仿宋"/>
          <w:b/>
          <w:sz w:val="32"/>
          <w:szCs w:val="32"/>
        </w:rPr>
        <w:t>（二）一般公共预算财政拨款支出决算结构情况</w:t>
      </w:r>
      <w:bookmarkEnd w:id="102"/>
      <w:bookmarkEnd w:id="103"/>
    </w:p>
    <w:p>
      <w:pPr>
        <w:spacing w:line="600" w:lineRule="exact"/>
        <w:ind w:firstLine="640"/>
        <w:rPr>
          <w:rFonts w:hint="eastAsia" w:ascii="仿宋" w:hAnsi="仿宋" w:eastAsia="仿宋"/>
          <w:b/>
          <w:sz w:val="32"/>
          <w:szCs w:val="32"/>
          <w:lang w:val="en-US"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9725.52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26.95</w:t>
      </w:r>
      <w:r>
        <w:rPr>
          <w:rFonts w:hint="eastAsia" w:ascii="仿宋" w:hAnsi="仿宋" w:eastAsia="仿宋"/>
          <w:color w:val="000000" w:themeColor="text1"/>
          <w:sz w:val="32"/>
          <w:szCs w:val="32"/>
          <w14:textFill>
            <w14:solidFill>
              <w14:schemeClr w14:val="tx1"/>
            </w14:solidFill>
          </w14:textFill>
        </w:rPr>
        <w:t>万元，占0.</w:t>
      </w:r>
      <w:r>
        <w:rPr>
          <w:rFonts w:hint="eastAsia" w:ascii="仿宋" w:hAnsi="仿宋" w:eastAsia="仿宋"/>
          <w:color w:val="000000" w:themeColor="text1"/>
          <w:sz w:val="32"/>
          <w:szCs w:val="32"/>
          <w:lang w:val="en-US" w:eastAsia="zh-CN"/>
          <w14:textFill>
            <w14:solidFill>
              <w14:schemeClr w14:val="tx1"/>
            </w14:solidFill>
          </w14:textFill>
        </w:rPr>
        <w:t>28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2570.68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sz w:val="32"/>
          <w:szCs w:val="32"/>
        </w:rPr>
        <w:t>卫生健康支出</w:t>
      </w:r>
      <w:r>
        <w:rPr>
          <w:rFonts w:hint="eastAsia" w:ascii="仿宋" w:hAnsi="仿宋" w:eastAsia="仿宋"/>
          <w:color w:val="000000" w:themeColor="text1"/>
          <w:sz w:val="32"/>
          <w:szCs w:val="32"/>
          <w:lang w:val="en-US" w:eastAsia="zh-CN"/>
          <w14:textFill>
            <w14:solidFill>
              <w14:schemeClr w14:val="tx1"/>
            </w14:solidFill>
          </w14:textFill>
        </w:rPr>
        <w:t>7127.88</w:t>
      </w:r>
      <w:r>
        <w:rPr>
          <w:rFonts w:hint="eastAsia" w:ascii="仿宋" w:hAnsi="仿宋" w:eastAsia="仿宋"/>
          <w:sz w:val="32"/>
          <w:szCs w:val="32"/>
        </w:rPr>
        <w:t>万元，占</w:t>
      </w:r>
      <w:r>
        <w:rPr>
          <w:rFonts w:hint="eastAsia" w:ascii="仿宋" w:hAnsi="仿宋" w:eastAsia="仿宋"/>
          <w:color w:val="000000" w:themeColor="text1"/>
          <w:sz w:val="32"/>
          <w:szCs w:val="32"/>
          <w:lang w:val="en-US" w:eastAsia="zh-CN"/>
          <w14:textFill>
            <w14:solidFill>
              <w14:schemeClr w14:val="tx1"/>
            </w14:solidFill>
          </w14:textFill>
        </w:rPr>
        <w:t>73.29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pPr>
      <w:r>
        <w:rPr>
          <w:rFonts w:hint="eastAsia" w:ascii="仿宋" w:hAnsi="仿宋" w:eastAsia="仿宋"/>
          <w:b/>
          <w:sz w:val="32"/>
          <w:szCs w:val="32"/>
        </w:rPr>
        <w:t>（注：数据来源于财决01-1表，仅罗列本单位涉及的全部功能分类科目，至类级。）</w:t>
      </w:r>
    </w:p>
    <w:p>
      <w:pPr>
        <w:spacing w:line="240" w:lineRule="auto"/>
        <w:ind w:firstLine="640"/>
        <w:jc w:val="center"/>
        <w:rPr>
          <w:rFonts w:hint="eastAsia" w:ascii="仿宋" w:hAnsi="仿宋" w:eastAsia="仿宋"/>
          <w:sz w:val="32"/>
          <w:szCs w:val="32"/>
          <w:lang w:eastAsia="zh-CN"/>
        </w:rPr>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104" w:name="_Toc15377212"/>
      <w:bookmarkStart w:id="105" w:name="_Toc884"/>
      <w:r>
        <w:rPr>
          <w:rFonts w:hint="eastAsia" w:ascii="仿宋" w:hAnsi="仿宋" w:eastAsia="仿宋"/>
          <w:b/>
          <w:sz w:val="32"/>
          <w:szCs w:val="32"/>
        </w:rPr>
        <w:t>（三）一般公共预算财政拨款支出决算具体情况</w:t>
      </w:r>
      <w:bookmarkEnd w:id="104"/>
      <w:bookmarkEnd w:id="105"/>
    </w:p>
    <w:p>
      <w:pPr>
        <w:spacing w:line="600" w:lineRule="exact"/>
        <w:ind w:firstLine="643" w:firstLineChars="200"/>
        <w:outlineLvl w:val="2"/>
        <w:rPr>
          <w:rFonts w:ascii="仿宋" w:hAnsi="仿宋" w:eastAsia="仿宋"/>
          <w:sz w:val="32"/>
          <w:szCs w:val="32"/>
        </w:rPr>
      </w:pPr>
      <w:bookmarkStart w:id="106" w:name="_Toc15378460"/>
      <w:bookmarkStart w:id="107" w:name="_Toc16152"/>
      <w:bookmarkStart w:id="108" w:name="_Toc15377444"/>
      <w:bookmarkStart w:id="109" w:name="_Toc15377213"/>
      <w:r>
        <w:rPr>
          <w:rFonts w:hint="eastAsia" w:ascii="仿宋" w:hAnsi="仿宋" w:eastAsia="仿宋"/>
          <w:b/>
          <w:sz w:val="32"/>
          <w:szCs w:val="32"/>
        </w:rPr>
        <w:t>202</w:t>
      </w:r>
      <w:r>
        <w:rPr>
          <w:rFonts w:hint="eastAsia" w:ascii="仿宋" w:hAnsi="仿宋" w:eastAsia="仿宋"/>
          <w:b/>
          <w:sz w:val="32"/>
          <w:szCs w:val="32"/>
          <w:lang w:val="en-US" w:eastAsia="zh-CN"/>
        </w:rPr>
        <w:t>2</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9725.52</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106"/>
      <w:bookmarkEnd w:id="107"/>
      <w:bookmarkEnd w:id="108"/>
      <w:bookmarkEnd w:id="109"/>
    </w:p>
    <w:p>
      <w:pPr>
        <w:pStyle w:val="12"/>
        <w:shd w:val="clear" w:color="auto" w:fill="FFFFFF"/>
        <w:spacing w:before="93" w:beforeAutospacing="0" w:after="136" w:afterAutospacing="0" w:line="27" w:lineRule="atLeast"/>
        <w:ind w:firstLine="581" w:firstLineChars="181"/>
        <w:rPr>
          <w:rFonts w:ascii="仿宋" w:hAnsi="仿宋" w:eastAsia="仿宋" w:cs="Times New Roman"/>
          <w:b w:val="0"/>
          <w:bCs/>
          <w:sz w:val="32"/>
          <w:szCs w:val="32"/>
        </w:rPr>
      </w:pPr>
      <w:r>
        <w:rPr>
          <w:rStyle w:val="15"/>
          <w:rFonts w:ascii="仿宋" w:hAnsi="仿宋" w:eastAsia="仿宋" w:cstheme="minorBidi"/>
          <w:bCs/>
          <w:kern w:val="2"/>
          <w:sz w:val="32"/>
          <w:szCs w:val="32"/>
          <w:lang w:val="en-US" w:eastAsia="zh-CN" w:bidi="ar-SA"/>
        </w:rPr>
        <w:t>1.</w:t>
      </w:r>
      <w:r>
        <w:rPr>
          <w:rStyle w:val="15"/>
          <w:rFonts w:hint="eastAsia" w:ascii="仿宋" w:hAnsi="仿宋" w:eastAsia="仿宋" w:cstheme="minorBidi"/>
          <w:bCs/>
          <w:kern w:val="2"/>
          <w:sz w:val="32"/>
          <w:szCs w:val="32"/>
          <w:lang w:val="en-US" w:eastAsia="zh-CN" w:bidi="ar-SA"/>
        </w:rPr>
        <w:t>科学技术支出（类）基础研究（款）专项基础科研（项）</w:t>
      </w:r>
      <w:r>
        <w:rPr>
          <w:rStyle w:val="15"/>
          <w:rFonts w:ascii="仿宋" w:hAnsi="仿宋" w:eastAsia="仿宋" w:cstheme="minorBidi"/>
          <w:bCs/>
          <w:kern w:val="2"/>
          <w:sz w:val="32"/>
          <w:szCs w:val="32"/>
          <w:lang w:val="en-US" w:eastAsia="zh-CN" w:bidi="ar-SA"/>
        </w:rPr>
        <w:t>:</w:t>
      </w:r>
      <w:r>
        <w:rPr>
          <w:rFonts w:ascii="微软雅黑" w:hAnsi="微软雅黑" w:eastAsia="仿宋" w:cs="Times New Roman"/>
          <w:b w:val="0"/>
          <w:bCs/>
          <w:sz w:val="32"/>
          <w:szCs w:val="32"/>
          <w:shd w:val="clear" w:color="auto" w:fill="FFFFFF"/>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15</w:t>
      </w:r>
      <w:r>
        <w:rPr>
          <w:rFonts w:hint="eastAsia" w:ascii="仿宋" w:hAnsi="仿宋" w:eastAsia="仿宋" w:cs="仿宋_GB2312"/>
          <w:b w:val="0"/>
          <w:bCs/>
          <w:sz w:val="32"/>
          <w:szCs w:val="32"/>
          <w:shd w:val="clear" w:color="auto" w:fill="FFFFFF"/>
        </w:rPr>
        <w:t>万元，完成预算</w:t>
      </w:r>
      <w:r>
        <w:rPr>
          <w:rFonts w:hint="eastAsia" w:ascii="仿宋" w:hAnsi="仿宋" w:eastAsia="仿宋" w:cs="仿宋_GB2312"/>
          <w:b w:val="0"/>
          <w:bCs/>
          <w:sz w:val="32"/>
          <w:szCs w:val="32"/>
          <w:shd w:val="clear" w:color="auto" w:fill="FFFFFF"/>
          <w:lang w:val="en-US" w:eastAsia="zh-CN"/>
        </w:rPr>
        <w:t>100</w:t>
      </w:r>
      <w:r>
        <w:rPr>
          <w:rFonts w:ascii="仿宋" w:hAnsi="仿宋" w:eastAsia="仿宋" w:cs="仿宋_GB2312"/>
          <w:b w:val="0"/>
          <w:bCs/>
          <w:sz w:val="32"/>
          <w:szCs w:val="32"/>
          <w:shd w:val="clear" w:color="auto" w:fill="FFFFFF"/>
        </w:rPr>
        <w:t>%</w:t>
      </w:r>
      <w:r>
        <w:rPr>
          <w:rFonts w:hint="eastAsia" w:ascii="仿宋" w:hAnsi="仿宋" w:eastAsia="仿宋" w:cs="仿宋_GB2312"/>
          <w:b w:val="0"/>
          <w:bCs/>
          <w:sz w:val="32"/>
          <w:szCs w:val="32"/>
          <w:shd w:val="clear" w:color="auto" w:fill="FFFFFF"/>
        </w:rPr>
        <w:t>。</w:t>
      </w:r>
    </w:p>
    <w:p>
      <w:pPr>
        <w:pStyle w:val="12"/>
        <w:shd w:val="clear" w:color="auto" w:fill="FFFFFF"/>
        <w:spacing w:before="93" w:beforeAutospacing="0" w:after="136" w:afterAutospacing="0" w:line="27" w:lineRule="atLeast"/>
        <w:ind w:firstLine="581" w:firstLineChars="181"/>
        <w:rPr>
          <w:rFonts w:hint="eastAsia" w:ascii="仿宋" w:hAnsi="仿宋" w:eastAsia="仿宋" w:cs="仿宋_GB2312"/>
          <w:b w:val="0"/>
          <w:bCs/>
          <w:sz w:val="32"/>
          <w:szCs w:val="32"/>
          <w:shd w:val="clear" w:color="auto" w:fill="FFFFFF"/>
        </w:rPr>
      </w:pPr>
      <w:r>
        <w:rPr>
          <w:rStyle w:val="15"/>
          <w:rFonts w:ascii="仿宋" w:hAnsi="仿宋" w:eastAsia="仿宋" w:cstheme="minorBidi"/>
          <w:bCs/>
          <w:kern w:val="2"/>
          <w:sz w:val="32"/>
          <w:szCs w:val="32"/>
          <w:lang w:val="en-US" w:eastAsia="zh-CN" w:bidi="ar-SA"/>
        </w:rPr>
        <w:t>2.</w:t>
      </w:r>
      <w:r>
        <w:rPr>
          <w:rStyle w:val="15"/>
          <w:rFonts w:hint="eastAsia" w:ascii="仿宋" w:hAnsi="仿宋" w:eastAsia="仿宋" w:cstheme="minorBidi"/>
          <w:bCs/>
          <w:kern w:val="2"/>
          <w:sz w:val="32"/>
          <w:szCs w:val="32"/>
          <w:lang w:val="en-US" w:eastAsia="zh-CN" w:bidi="ar-SA"/>
        </w:rPr>
        <w:t>科学技术支出（类）技术研究与开发（款）其他技术研究与开发支出（项）</w:t>
      </w:r>
      <w:r>
        <w:rPr>
          <w:rStyle w:val="15"/>
          <w:rFonts w:ascii="仿宋" w:hAnsi="仿宋" w:eastAsia="仿宋" w:cstheme="minorBidi"/>
          <w:bCs/>
          <w:kern w:val="2"/>
          <w:sz w:val="32"/>
          <w:szCs w:val="32"/>
          <w:lang w:val="en-US" w:eastAsia="zh-CN" w:bidi="ar-SA"/>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7.85</w:t>
      </w:r>
      <w:r>
        <w:rPr>
          <w:rFonts w:hint="eastAsia" w:ascii="仿宋" w:hAnsi="仿宋" w:eastAsia="仿宋" w:cs="仿宋_GB2312"/>
          <w:b w:val="0"/>
          <w:bCs/>
          <w:sz w:val="32"/>
          <w:szCs w:val="32"/>
          <w:shd w:val="clear" w:color="auto" w:fill="FFFFFF"/>
        </w:rPr>
        <w:t>万元，</w:t>
      </w:r>
      <w:r>
        <w:rPr>
          <w:rFonts w:hint="eastAsia" w:ascii="仿宋" w:hAnsi="仿宋" w:eastAsia="仿宋" w:cs="仿宋_GB2312"/>
          <w:b w:val="0"/>
          <w:bCs/>
          <w:sz w:val="32"/>
          <w:szCs w:val="32"/>
          <w:shd w:val="clear" w:color="auto" w:fill="FFFFFF"/>
          <w:lang w:eastAsia="zh-CN"/>
        </w:rPr>
        <w:t>完成预算</w:t>
      </w:r>
      <w:r>
        <w:rPr>
          <w:rFonts w:hint="eastAsia" w:ascii="仿宋" w:hAnsi="仿宋" w:eastAsia="仿宋" w:cs="仿宋_GB2312"/>
          <w:b w:val="0"/>
          <w:bCs/>
          <w:sz w:val="32"/>
          <w:szCs w:val="32"/>
          <w:shd w:val="clear" w:color="auto" w:fill="FFFFFF"/>
          <w:lang w:val="en-US" w:eastAsia="zh-CN"/>
        </w:rPr>
        <w:t>10</w:t>
      </w:r>
      <w:r>
        <w:rPr>
          <w:rFonts w:hint="eastAsia" w:ascii="仿宋" w:hAnsi="仿宋" w:eastAsia="仿宋" w:cs="仿宋_GB2312"/>
          <w:b w:val="0"/>
          <w:bCs/>
          <w:sz w:val="32"/>
          <w:szCs w:val="32"/>
          <w:shd w:val="clear" w:color="auto" w:fill="FFFFFF"/>
        </w:rPr>
        <w:t>0%。</w:t>
      </w:r>
    </w:p>
    <w:p>
      <w:pPr>
        <w:pStyle w:val="12"/>
        <w:shd w:val="clear" w:color="auto" w:fill="FFFFFF"/>
        <w:spacing w:before="93" w:beforeAutospacing="0" w:after="136" w:afterAutospacing="0" w:line="27" w:lineRule="atLeast"/>
        <w:ind w:firstLine="581" w:firstLineChars="181"/>
        <w:rPr>
          <w:rFonts w:hint="default" w:ascii="仿宋" w:hAnsi="仿宋" w:eastAsia="仿宋" w:cs="仿宋_GB2312"/>
          <w:b w:val="0"/>
          <w:bCs/>
          <w:sz w:val="32"/>
          <w:szCs w:val="32"/>
          <w:shd w:val="clear" w:color="auto" w:fill="FFFFFF"/>
          <w:lang w:val="en-US" w:eastAsia="zh-CN"/>
        </w:rPr>
      </w:pPr>
      <w:r>
        <w:rPr>
          <w:rStyle w:val="15"/>
          <w:rFonts w:hint="eastAsia" w:ascii="仿宋" w:hAnsi="仿宋" w:eastAsia="仿宋" w:cstheme="minorBidi"/>
          <w:bCs/>
          <w:kern w:val="2"/>
          <w:sz w:val="32"/>
          <w:szCs w:val="32"/>
          <w:lang w:val="en-US" w:eastAsia="zh-CN" w:bidi="ar-SA"/>
        </w:rPr>
        <w:t>3.科学技术支出（类）其他科学技术支出（款）其他科学技术支出（项）</w:t>
      </w:r>
      <w:r>
        <w:rPr>
          <w:rStyle w:val="15"/>
          <w:rFonts w:ascii="仿宋" w:hAnsi="仿宋" w:eastAsia="仿宋" w:cstheme="minorBidi"/>
          <w:bCs/>
          <w:kern w:val="2"/>
          <w:sz w:val="32"/>
          <w:szCs w:val="32"/>
          <w:lang w:val="en-US" w:eastAsia="zh-CN" w:bidi="ar-SA"/>
        </w:rPr>
        <w:t>:</w:t>
      </w:r>
      <w:r>
        <w:rPr>
          <w:rFonts w:ascii="微软雅黑" w:hAnsi="微软雅黑" w:eastAsia="仿宋" w:cs="Times New Roman"/>
          <w:b w:val="0"/>
          <w:bCs/>
          <w:sz w:val="32"/>
          <w:szCs w:val="32"/>
          <w:shd w:val="clear" w:color="auto" w:fill="FFFFFF"/>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4.1</w:t>
      </w:r>
      <w:r>
        <w:rPr>
          <w:rFonts w:hint="eastAsia" w:ascii="仿宋" w:hAnsi="仿宋" w:eastAsia="仿宋" w:cs="仿宋_GB2312"/>
          <w:b w:val="0"/>
          <w:bCs/>
          <w:sz w:val="32"/>
          <w:szCs w:val="32"/>
          <w:shd w:val="clear" w:color="auto" w:fill="FFFFFF"/>
        </w:rPr>
        <w:t>万元，</w:t>
      </w:r>
      <w:r>
        <w:rPr>
          <w:rFonts w:hint="eastAsia" w:ascii="仿宋" w:hAnsi="仿宋" w:eastAsia="仿宋" w:cs="仿宋_GB2312"/>
          <w:b w:val="0"/>
          <w:bCs/>
          <w:sz w:val="32"/>
          <w:szCs w:val="32"/>
          <w:shd w:val="clear" w:color="auto" w:fill="FFFFFF"/>
          <w:lang w:eastAsia="zh-CN"/>
        </w:rPr>
        <w:t>完成预算</w:t>
      </w:r>
      <w:r>
        <w:rPr>
          <w:rFonts w:hint="eastAsia" w:ascii="仿宋" w:hAnsi="仿宋" w:eastAsia="仿宋" w:cs="仿宋_GB2312"/>
          <w:b w:val="0"/>
          <w:bCs/>
          <w:sz w:val="32"/>
          <w:szCs w:val="32"/>
          <w:shd w:val="clear" w:color="auto" w:fill="FFFFFF"/>
          <w:lang w:val="en-US" w:eastAsia="zh-CN"/>
        </w:rPr>
        <w:t>10</w:t>
      </w:r>
      <w:r>
        <w:rPr>
          <w:rFonts w:hint="eastAsia" w:ascii="仿宋" w:hAnsi="仿宋" w:eastAsia="仿宋" w:cs="仿宋_GB2312"/>
          <w:b w:val="0"/>
          <w:bCs/>
          <w:sz w:val="32"/>
          <w:szCs w:val="32"/>
          <w:shd w:val="clear" w:color="auto" w:fill="FFFFFF"/>
        </w:rPr>
        <w:t>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4.社会保障和就业（类）行政事业单位养老支出（款）事业单位离退休（项）:</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1901.37</w:t>
      </w:r>
      <w:r>
        <w:rPr>
          <w:rStyle w:val="15"/>
          <w:rFonts w:hint="eastAsia" w:ascii="仿宋" w:hAnsi="仿宋" w:eastAsia="仿宋"/>
          <w:b w:val="0"/>
          <w:bCs/>
          <w:color w:val="000000"/>
          <w:sz w:val="32"/>
          <w:szCs w:val="32"/>
        </w:rPr>
        <w:t>万元，完成预</w:t>
      </w:r>
      <w:r>
        <w:rPr>
          <w:rStyle w:val="15"/>
          <w:rFonts w:hint="eastAsia" w:ascii="仿宋" w:hAnsi="仿宋" w:eastAsia="仿宋" w:cs="仿宋_GB2312"/>
          <w:b w:val="0"/>
          <w:bCs/>
          <w:sz w:val="32"/>
          <w:szCs w:val="32"/>
          <w:shd w:val="clear" w:color="auto" w:fill="FFFFFF"/>
          <w:lang w:eastAsia="zh-CN"/>
        </w:rPr>
        <w:t>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5.社会保障和就业（类）行政事业单位养老支出（款）机关事业单位基本养老保险缴费支出（项）: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426.62</w:t>
      </w:r>
      <w:r>
        <w:rPr>
          <w:rStyle w:val="15"/>
          <w:rFonts w:hint="eastAsia" w:ascii="仿宋" w:hAnsi="仿宋" w:eastAsia="仿宋" w:cs="仿宋_GB2312"/>
          <w:b w:val="0"/>
          <w:bCs/>
          <w:sz w:val="32"/>
          <w:szCs w:val="32"/>
          <w:shd w:val="clear" w:color="auto" w:fill="FFFFFF"/>
          <w:lang w:eastAsia="zh-CN"/>
        </w:rPr>
        <w:t>万元，完成预算100%。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6.社会保障和就业（类）行政事业单位养老支出（款）机关事业单位职业年金缴费支出（项）:</w:t>
      </w:r>
      <w:r>
        <w:rPr>
          <w:rStyle w:val="15"/>
          <w:rFonts w:hint="eastAsia" w:ascii="仿宋" w:hAnsi="仿宋" w:eastAsia="仿宋" w:cs="仿宋_GB2312"/>
          <w:b w:val="0"/>
          <w:bCs/>
          <w:sz w:val="32"/>
          <w:szCs w:val="32"/>
          <w:shd w:val="clear" w:color="auto" w:fill="FFFFFF"/>
          <w:lang w:eastAsia="zh-CN"/>
        </w:rPr>
        <w:t xml:space="preserve"> 支出决算为</w:t>
      </w:r>
      <w:r>
        <w:rPr>
          <w:rStyle w:val="15"/>
          <w:rFonts w:hint="eastAsia" w:ascii="仿宋" w:hAnsi="仿宋" w:eastAsia="仿宋" w:cs="仿宋_GB2312"/>
          <w:b w:val="0"/>
          <w:bCs/>
          <w:sz w:val="32"/>
          <w:szCs w:val="32"/>
          <w:shd w:val="clear" w:color="auto" w:fill="FFFFFF"/>
          <w:lang w:val="en-US" w:eastAsia="zh-CN"/>
        </w:rPr>
        <w:t>241.68</w:t>
      </w:r>
      <w:r>
        <w:rPr>
          <w:rStyle w:val="15"/>
          <w:rFonts w:hint="eastAsia" w:ascii="仿宋" w:hAnsi="仿宋" w:eastAsia="仿宋" w:cs="仿宋_GB2312"/>
          <w:b w:val="0"/>
          <w:bCs/>
          <w:sz w:val="32"/>
          <w:szCs w:val="32"/>
          <w:shd w:val="clear" w:color="auto" w:fill="FFFFFF"/>
          <w:lang w:eastAsia="zh-CN"/>
        </w:rPr>
        <w:t>万元，完成预算100%。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theme="minorBidi"/>
          <w:bCs/>
          <w:kern w:val="2"/>
          <w:sz w:val="32"/>
          <w:szCs w:val="32"/>
          <w:lang w:val="en-US" w:eastAsia="zh-CN" w:bidi="ar-SA"/>
        </w:rPr>
      </w:pPr>
      <w:r>
        <w:rPr>
          <w:rStyle w:val="15"/>
          <w:rFonts w:hint="eastAsia" w:ascii="仿宋" w:hAnsi="仿宋" w:eastAsia="仿宋" w:cstheme="minorBidi"/>
          <w:bCs/>
          <w:kern w:val="2"/>
          <w:sz w:val="32"/>
          <w:szCs w:val="32"/>
          <w:lang w:val="en-US" w:eastAsia="zh-CN" w:bidi="ar-SA"/>
        </w:rPr>
        <w:t xml:space="preserve">7.社会保障和就业（类）其他社会保障和就业支出（款）其他社会保障和就业支出（项）: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p>
    <w:p>
      <w:pPr>
        <w:pStyle w:val="12"/>
        <w:shd w:val="clear" w:color="auto" w:fill="FFFFFF"/>
        <w:spacing w:before="93" w:beforeAutospacing="0" w:after="136" w:afterAutospacing="0" w:line="27" w:lineRule="atLeast"/>
        <w:ind w:firstLine="581" w:firstLineChars="181"/>
        <w:rPr>
          <w:rStyle w:val="15"/>
          <w:rFonts w:ascii="仿宋" w:hAnsi="仿宋" w:eastAsia="仿宋"/>
          <w:b w:val="0"/>
          <w:bCs/>
          <w:color w:val="000000"/>
          <w:sz w:val="32"/>
          <w:szCs w:val="32"/>
        </w:rPr>
      </w:pPr>
      <w:r>
        <w:rPr>
          <w:rStyle w:val="15"/>
          <w:rFonts w:hint="eastAsia" w:ascii="仿宋" w:hAnsi="仿宋" w:eastAsia="仿宋" w:cstheme="minorBidi"/>
          <w:bCs/>
          <w:kern w:val="2"/>
          <w:sz w:val="32"/>
          <w:szCs w:val="32"/>
          <w:lang w:val="en-US" w:eastAsia="zh-CN" w:bidi="ar-SA"/>
        </w:rPr>
        <w:t xml:space="preserve">8.卫生健康支出（类）公立医院（款）综合医院（项）: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3222.20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9.卫生健康支出（类）公立医院（款）其他公立医院支出（项）: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1086.82</w:t>
      </w:r>
      <w:r>
        <w:rPr>
          <w:rStyle w:val="15"/>
          <w:rFonts w:hint="eastAsia" w:ascii="仿宋" w:hAnsi="仿宋" w:eastAsia="仿宋" w:cs="仿宋_GB2312"/>
          <w:b w:val="0"/>
          <w:bCs/>
          <w:sz w:val="32"/>
          <w:szCs w:val="32"/>
          <w:shd w:val="clear" w:color="auto" w:fill="FFFFFF"/>
          <w:lang w:eastAsia="zh-CN"/>
        </w:rPr>
        <w:t>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10.卫生健康支出（类）公共卫生（款）基本公共卫生服务（项）: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8</w:t>
      </w:r>
      <w:r>
        <w:rPr>
          <w:rStyle w:val="15"/>
          <w:rFonts w:hint="eastAsia" w:ascii="仿宋" w:hAnsi="仿宋" w:eastAsia="仿宋" w:cs="仿宋_GB2312"/>
          <w:b w:val="0"/>
          <w:bCs/>
          <w:sz w:val="32"/>
          <w:szCs w:val="32"/>
          <w:shd w:val="clear" w:color="auto" w:fill="FFFFFF"/>
          <w:lang w:eastAsia="zh-CN"/>
        </w:rPr>
        <w:t>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11.卫生健康支出（类）公共卫生（款）重大公共卫生服务（项）: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371.37</w:t>
      </w:r>
      <w:r>
        <w:rPr>
          <w:rStyle w:val="15"/>
          <w:rFonts w:hint="eastAsia" w:ascii="仿宋" w:hAnsi="仿宋" w:eastAsia="仿宋" w:cs="仿宋_GB2312"/>
          <w:b w:val="0"/>
          <w:bCs/>
          <w:sz w:val="32"/>
          <w:szCs w:val="32"/>
          <w:shd w:val="clear" w:color="auto" w:fill="FFFFFF"/>
          <w:lang w:eastAsia="zh-CN"/>
        </w:rPr>
        <w:t>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 xml:space="preserve">%。 </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12.卫生健康支出（类）公共卫生（款）突发公共卫生事件应急处理（项）: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2.7</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theme="minorBidi"/>
          <w:bCs/>
          <w:kern w:val="2"/>
          <w:sz w:val="32"/>
          <w:szCs w:val="32"/>
          <w:lang w:val="en-US" w:eastAsia="zh-CN" w:bidi="ar-SA"/>
        </w:rPr>
      </w:pPr>
      <w:r>
        <w:rPr>
          <w:rStyle w:val="15"/>
          <w:rFonts w:hint="eastAsia" w:ascii="仿宋" w:hAnsi="仿宋" w:eastAsia="仿宋" w:cstheme="minorBidi"/>
          <w:bCs/>
          <w:kern w:val="2"/>
          <w:sz w:val="32"/>
          <w:szCs w:val="32"/>
          <w:lang w:val="en-US" w:eastAsia="zh-CN" w:bidi="ar-SA"/>
        </w:rPr>
        <w:t xml:space="preserve">13.卫生健康支出（类）公共卫生（款）其他公共卫生支出（项）: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5</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14.卫生健康支出（类）计划生育服务（款）其他计划生育事务支出（项）:</w:t>
      </w:r>
      <w:r>
        <w:rPr>
          <w:rStyle w:val="15"/>
          <w:rFonts w:hint="eastAsia" w:ascii="仿宋" w:hAnsi="仿宋" w:eastAsia="仿宋" w:cs="仿宋_GB2312"/>
          <w:b w:val="0"/>
          <w:bCs/>
          <w:sz w:val="32"/>
          <w:szCs w:val="32"/>
          <w:shd w:val="clear" w:color="auto" w:fill="FFFFFF"/>
          <w:lang w:eastAsia="zh-CN"/>
        </w:rPr>
        <w:t xml:space="preserve"> 支出决算为</w:t>
      </w:r>
      <w:r>
        <w:rPr>
          <w:rStyle w:val="15"/>
          <w:rFonts w:hint="eastAsia" w:ascii="仿宋" w:hAnsi="仿宋" w:eastAsia="仿宋" w:cs="仿宋_GB2312"/>
          <w:b w:val="0"/>
          <w:bCs/>
          <w:sz w:val="32"/>
          <w:szCs w:val="32"/>
          <w:shd w:val="clear" w:color="auto" w:fill="FFFFFF"/>
          <w:lang w:val="en-US" w:eastAsia="zh-CN"/>
        </w:rPr>
        <w:t>7.28</w:t>
      </w:r>
      <w:r>
        <w:rPr>
          <w:rStyle w:val="15"/>
          <w:rFonts w:hint="eastAsia" w:ascii="仿宋" w:hAnsi="仿宋" w:eastAsia="仿宋" w:cs="仿宋_GB2312"/>
          <w:b w:val="0"/>
          <w:bCs/>
          <w:sz w:val="32"/>
          <w:szCs w:val="32"/>
          <w:shd w:val="clear" w:color="auto" w:fill="FFFFFF"/>
          <w:lang w:eastAsia="zh-CN"/>
        </w:rPr>
        <w:t>万元，完成预算的</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15.卫生健康支出（类）行政事业单位医疗（款）其他行政事业单位医疗支出（项）:</w:t>
      </w:r>
      <w:r>
        <w:rPr>
          <w:rStyle w:val="15"/>
          <w:rFonts w:hint="eastAsia" w:ascii="仿宋" w:hAnsi="仿宋" w:eastAsia="仿宋" w:cs="仿宋_GB2312"/>
          <w:b w:val="0"/>
          <w:bCs/>
          <w:sz w:val="32"/>
          <w:szCs w:val="32"/>
          <w:shd w:val="clear" w:color="auto" w:fill="FFFFFF"/>
          <w:lang w:eastAsia="zh-CN"/>
        </w:rPr>
        <w:t xml:space="preserve"> 支出决算为</w:t>
      </w:r>
      <w:r>
        <w:rPr>
          <w:rStyle w:val="15"/>
          <w:rFonts w:hint="eastAsia" w:ascii="仿宋" w:hAnsi="仿宋" w:eastAsia="仿宋" w:cs="仿宋_GB2312"/>
          <w:b w:val="0"/>
          <w:bCs/>
          <w:sz w:val="32"/>
          <w:szCs w:val="32"/>
          <w:shd w:val="clear" w:color="auto" w:fill="FFFFFF"/>
          <w:lang w:val="en-US" w:eastAsia="zh-CN"/>
        </w:rPr>
        <w:t>274.50</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default" w:ascii="仿宋" w:hAnsi="仿宋" w:eastAsia="仿宋" w:cs="仿宋_GB2312"/>
          <w:b w:val="0"/>
          <w:bCs/>
          <w:sz w:val="32"/>
          <w:szCs w:val="32"/>
          <w:shd w:val="clear" w:color="auto" w:fill="FFFFFF"/>
          <w:lang w:val="en-US" w:eastAsia="zh-CN"/>
        </w:rPr>
      </w:pPr>
      <w:r>
        <w:rPr>
          <w:rStyle w:val="15"/>
          <w:rFonts w:hint="eastAsia" w:ascii="仿宋" w:hAnsi="仿宋" w:eastAsia="仿宋" w:cstheme="minorBidi"/>
          <w:bCs/>
          <w:kern w:val="2"/>
          <w:sz w:val="32"/>
          <w:szCs w:val="32"/>
          <w:lang w:val="en-US" w:eastAsia="zh-CN" w:bidi="ar-SA"/>
        </w:rPr>
        <w:t xml:space="preserve">16.卫生健康支出（类）医疗保障管理事务（款）其他医疗保障管理事务支出（项）: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136.68</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17.卫生健康支出（类）其他卫生健康支出（款）其他卫生健康支出（项）: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2013.33</w:t>
      </w:r>
      <w:r>
        <w:rPr>
          <w:rStyle w:val="15"/>
          <w:rFonts w:hint="eastAsia" w:ascii="仿宋" w:hAnsi="仿宋" w:eastAsia="仿宋" w:cs="仿宋_GB2312"/>
          <w:b w:val="0"/>
          <w:bCs/>
          <w:sz w:val="32"/>
          <w:szCs w:val="32"/>
          <w:shd w:val="clear" w:color="auto" w:fill="FFFFFF"/>
          <w:lang w:eastAsia="zh-CN"/>
        </w:rPr>
        <w:t>万元，完成预算的</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hint="eastAsia" w:ascii="仿宋" w:hAnsi="仿宋" w:eastAsia="仿宋"/>
          <w:b/>
          <w:sz w:val="32"/>
          <w:szCs w:val="32"/>
        </w:rPr>
        <w:t>。增减变动原因为决算数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6"/>
        </w:rPr>
      </w:pPr>
      <w:bookmarkStart w:id="110" w:name="_Toc23119"/>
      <w:bookmarkStart w:id="111" w:name="_Toc15396608"/>
      <w:bookmarkStart w:id="112" w:name="_Toc15377214"/>
      <w:bookmarkStart w:id="113" w:name="_Toc1573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110"/>
      <w:bookmarkEnd w:id="111"/>
      <w:bookmarkEnd w:id="112"/>
      <w:bookmarkEnd w:id="113"/>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6012.48</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5945.16</w:t>
      </w:r>
      <w:r>
        <w:rPr>
          <w:rFonts w:hint="eastAsia" w:ascii="仿宋" w:hAnsi="仿宋" w:eastAsia="仿宋"/>
          <w:sz w:val="32"/>
          <w:szCs w:val="32"/>
        </w:rPr>
        <w:t>万元，主要包括：基本工资、津贴补贴、绩效工资、机关事业单位基本养老保险缴费、职业年金缴费、其他社会保障缴费、其他工资福利支出、离休费、其他对个人和家庭的补助支出。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67.32</w:t>
      </w:r>
      <w:r>
        <w:rPr>
          <w:rFonts w:hint="eastAsia" w:ascii="仿宋" w:hAnsi="仿宋" w:eastAsia="仿宋"/>
          <w:sz w:val="32"/>
          <w:szCs w:val="32"/>
        </w:rPr>
        <w:t>万元，主要包括：其他商品和服务支出。</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114" w:name="_Toc29874"/>
      <w:bookmarkStart w:id="115" w:name="_Toc15396609"/>
      <w:bookmarkStart w:id="116" w:name="_Toc15377215"/>
      <w:bookmarkStart w:id="117" w:name="_Toc24953"/>
      <w:r>
        <w:rPr>
          <w:rFonts w:hint="eastAsia" w:ascii="黑体" w:eastAsia="黑体"/>
          <w:sz w:val="32"/>
          <w:szCs w:val="32"/>
        </w:rPr>
        <w:t>七、</w:t>
      </w:r>
      <w:bookmarkEnd w:id="114"/>
      <w:bookmarkEnd w:id="115"/>
      <w:bookmarkEnd w:id="116"/>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117"/>
    </w:p>
    <w:p>
      <w:pPr>
        <w:spacing w:line="600" w:lineRule="exact"/>
        <w:ind w:firstLine="640"/>
        <w:outlineLvl w:val="2"/>
        <w:rPr>
          <w:rFonts w:ascii="仿宋" w:hAnsi="仿宋" w:eastAsia="仿宋"/>
          <w:b/>
          <w:sz w:val="32"/>
          <w:szCs w:val="32"/>
        </w:rPr>
      </w:pPr>
      <w:bookmarkStart w:id="118" w:name="_Toc7714"/>
      <w:bookmarkStart w:id="119" w:name="_Toc15377216"/>
      <w:r>
        <w:rPr>
          <w:rFonts w:hint="eastAsia" w:ascii="仿宋" w:hAnsi="仿宋" w:eastAsia="仿宋"/>
          <w:b/>
          <w:sz w:val="32"/>
          <w:szCs w:val="32"/>
        </w:rPr>
        <w:t>（一）“三公”经费财政拨款支出决算总体情况说明</w:t>
      </w:r>
      <w:bookmarkEnd w:id="118"/>
      <w:bookmarkEnd w:id="11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，我单位不属于“三公”经费财政拨款支出的预算单位。</w:t>
      </w:r>
    </w:p>
    <w:p>
      <w:pPr>
        <w:spacing w:line="600" w:lineRule="exact"/>
        <w:ind w:firstLine="640"/>
        <w:rPr>
          <w:b w:val="0"/>
          <w:bCs/>
        </w:rPr>
      </w:pPr>
      <w:r>
        <w:rPr>
          <w:rFonts w:hint="eastAsia" w:ascii="仿宋" w:hAnsi="仿宋" w:eastAsia="仿宋"/>
          <w:b/>
          <w:sz w:val="32"/>
          <w:szCs w:val="32"/>
        </w:rPr>
        <w:t>（注：上述“预算”口径为调整预算数，包括一般公共预算和政府性基金预算财政拨款支出决算情况。）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120" w:name="_Toc16887"/>
      <w:bookmarkStart w:id="121" w:name="_Toc15377217"/>
      <w:r>
        <w:rPr>
          <w:rFonts w:hint="eastAsia" w:ascii="仿宋" w:hAnsi="仿宋" w:eastAsia="仿宋"/>
          <w:b/>
          <w:sz w:val="32"/>
          <w:szCs w:val="32"/>
        </w:rPr>
        <w:t>（二）“三公”经费财政拨款支出决算具体情况说明</w:t>
      </w:r>
      <w:bookmarkEnd w:id="120"/>
      <w:bookmarkEnd w:id="121"/>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jc w:val="center"/>
        <w:rPr>
          <w:rFonts w:hint="eastAsia" w:eastAsia="仿宋"/>
          <w:lang w:eastAsia="zh-CN"/>
        </w:rPr>
      </w:pPr>
      <w:r>
        <w:rPr>
          <w:rFonts w:hint="eastAsia" w:eastAsia="仿宋"/>
          <w:lang w:eastAsia="zh-CN"/>
        </w:rPr>
        <w:drawing>
          <wp:inline distT="0" distB="0" distL="114300" distR="114300">
            <wp:extent cx="4333875" cy="2499360"/>
            <wp:effectExtent l="0" t="0" r="9525" b="15240"/>
            <wp:docPr id="11" name="图片 11"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8"/>
                    <pic:cNvPicPr>
                      <a:picLocks noChangeAspect="1"/>
                    </pic:cNvPicPr>
                  </pic:nvPicPr>
                  <pic:blipFill>
                    <a:blip r:embed="rId12"/>
                    <a:stretch>
                      <a:fillRect/>
                    </a:stretch>
                  </pic:blipFill>
                  <pic:spPr>
                    <a:xfrm>
                      <a:off x="0" y="0"/>
                      <a:ext cx="4333875" cy="2499360"/>
                    </a:xfrm>
                    <a:prstGeom prst="rect">
                      <a:avLst/>
                    </a:prstGeom>
                  </pic:spPr>
                </pic:pic>
              </a:graphicData>
            </a:graphic>
          </wp:inline>
        </w:drawing>
      </w:r>
    </w:p>
    <w:p>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jc w:val="left"/>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一致</w:t>
      </w:r>
      <w:r>
        <w:rPr>
          <w:rFonts w:hint="eastAsia" w:ascii="仿宋_GB2312" w:eastAsia="仿宋_GB2312"/>
          <w:sz w:val="32"/>
          <w:szCs w:val="32"/>
        </w:rPr>
        <w:t>。</w:t>
      </w:r>
    </w:p>
    <w:p>
      <w:pPr>
        <w:spacing w:line="600" w:lineRule="exact"/>
        <w:ind w:firstLine="640" w:firstLineChars="200"/>
        <w:rPr>
          <w:rFonts w:hint="default" w:ascii="仿宋_GB2312" w:eastAsia="仿宋_GB2312"/>
          <w:b/>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29</w:t>
      </w:r>
      <w:r>
        <w:rPr>
          <w:rFonts w:hint="eastAsia" w:ascii="仿宋_GB2312" w:eastAsia="仿宋_GB2312"/>
          <w:sz w:val="32"/>
          <w:szCs w:val="32"/>
        </w:rPr>
        <w:t>辆，其中：轿车</w:t>
      </w:r>
      <w:r>
        <w:rPr>
          <w:rFonts w:hint="eastAsia" w:ascii="仿宋_GB2312" w:eastAsia="仿宋_GB2312"/>
          <w:sz w:val="32"/>
          <w:szCs w:val="32"/>
          <w:lang w:val="en-US" w:eastAsia="zh-CN"/>
        </w:rPr>
        <w:t>7</w:t>
      </w:r>
      <w:r>
        <w:rPr>
          <w:rFonts w:hint="eastAsia" w:ascii="仿宋_GB2312" w:eastAsia="仿宋_GB2312"/>
          <w:sz w:val="32"/>
          <w:szCs w:val="32"/>
        </w:rPr>
        <w:t>辆、越野车</w:t>
      </w:r>
      <w:r>
        <w:rPr>
          <w:rFonts w:hint="eastAsia" w:ascii="仿宋_GB2312" w:eastAsia="仿宋_GB2312"/>
          <w:sz w:val="32"/>
          <w:szCs w:val="32"/>
          <w:lang w:val="en-US" w:eastAsia="zh-CN"/>
        </w:rPr>
        <w:t>3</w:t>
      </w:r>
      <w:r>
        <w:rPr>
          <w:rFonts w:hint="eastAsia" w:ascii="仿宋_GB2312" w:eastAsia="仿宋_GB2312"/>
          <w:sz w:val="32"/>
          <w:szCs w:val="32"/>
        </w:rPr>
        <w:t>辆、载客汽车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、商务车4辆、救护车1</w:t>
      </w:r>
      <w:r>
        <w:rPr>
          <w:rFonts w:hint="eastAsia" w:ascii="仿宋_GB2312" w:eastAsia="仿宋_GB2312"/>
          <w:sz w:val="32"/>
          <w:szCs w:val="32"/>
          <w:lang w:val="en-US" w:eastAsia="zh-CN"/>
        </w:rPr>
        <w:t>4</w:t>
      </w:r>
      <w:r>
        <w:rPr>
          <w:rFonts w:hint="eastAsia" w:ascii="仿宋_GB2312" w:eastAsia="仿宋_GB2312"/>
          <w:sz w:val="32"/>
          <w:szCs w:val="32"/>
          <w:lang w:eastAsia="zh-CN"/>
        </w:rPr>
        <w:t>辆</w:t>
      </w:r>
      <w:r>
        <w:rPr>
          <w:rFonts w:hint="eastAsia" w:ascii="仿宋_GB2312" w:eastAsia="仿宋_GB2312"/>
          <w:sz w:val="32"/>
          <w:szCs w:val="32"/>
          <w:lang w:val="en-US" w:eastAsia="zh-CN"/>
        </w:rPr>
        <w:t>。</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hint="default" w:ascii="仿宋_GB2312" w:eastAsia="仿宋_GB2312"/>
          <w:sz w:val="32"/>
          <w:szCs w:val="32"/>
          <w:lang w:val="en-US"/>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outlineLvl w:val="1"/>
        <w:rPr>
          <w:rFonts w:ascii="黑体" w:eastAsia="黑体"/>
          <w:sz w:val="32"/>
          <w:szCs w:val="32"/>
        </w:rPr>
      </w:pPr>
      <w:bookmarkStart w:id="122" w:name="_Toc15377218"/>
      <w:bookmarkStart w:id="123" w:name="_Toc15396610"/>
    </w:p>
    <w:p>
      <w:pPr>
        <w:spacing w:line="600" w:lineRule="exact"/>
        <w:ind w:firstLine="640"/>
        <w:outlineLvl w:val="1"/>
        <w:rPr>
          <w:rStyle w:val="26"/>
          <w:rFonts w:ascii="黑体" w:hAnsi="黑体" w:eastAsia="黑体"/>
        </w:rPr>
      </w:pPr>
      <w:bookmarkStart w:id="124" w:name="_Toc6207"/>
      <w:bookmarkStart w:id="125" w:name="_Toc15393"/>
      <w:r>
        <w:rPr>
          <w:rFonts w:hint="eastAsia" w:ascii="黑体" w:eastAsia="黑体"/>
          <w:sz w:val="32"/>
          <w:szCs w:val="32"/>
        </w:rPr>
        <w:t>八、</w:t>
      </w:r>
      <w:r>
        <w:rPr>
          <w:rStyle w:val="26"/>
          <w:rFonts w:hint="eastAsia" w:ascii="黑体" w:hAnsi="黑体" w:eastAsia="黑体"/>
          <w:b w:val="0"/>
        </w:rPr>
        <w:t>政府性基金预算支出决算情况说明</w:t>
      </w:r>
      <w:bookmarkEnd w:id="122"/>
      <w:bookmarkEnd w:id="123"/>
      <w:bookmarkEnd w:id="124"/>
      <w:bookmarkEnd w:id="12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6"/>
          <w:rFonts w:ascii="黑体" w:hAnsi="黑体" w:eastAsia="黑体"/>
          <w:b w:val="0"/>
        </w:rPr>
      </w:pPr>
      <w:bookmarkStart w:id="126" w:name="_Toc10624"/>
      <w:bookmarkStart w:id="127" w:name="_Toc15396611"/>
      <w:bookmarkStart w:id="128" w:name="_Toc15377219"/>
      <w:bookmarkStart w:id="129" w:name="_Toc1483"/>
      <w:r>
        <w:rPr>
          <w:rStyle w:val="26"/>
          <w:rFonts w:hint="eastAsia" w:ascii="黑体" w:hAnsi="黑体" w:eastAsia="黑体"/>
          <w:b w:val="0"/>
        </w:rPr>
        <w:t>国有资本经营预算支出决算情况说明</w:t>
      </w:r>
      <w:bookmarkEnd w:id="126"/>
      <w:bookmarkEnd w:id="127"/>
      <w:bookmarkEnd w:id="128"/>
      <w:bookmarkEnd w:id="12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ascii="黑体" w:hAnsi="黑体" w:eastAsia="黑体"/>
          <w:b w:val="0"/>
        </w:rPr>
      </w:pPr>
      <w:bookmarkStart w:id="130" w:name="_Toc15377221"/>
      <w:bookmarkStart w:id="131" w:name="_Toc15396612"/>
      <w:bookmarkStart w:id="132" w:name="_Toc27937"/>
      <w:bookmarkStart w:id="133" w:name="_Toc21210"/>
      <w:r>
        <w:rPr>
          <w:rStyle w:val="26"/>
          <w:rFonts w:hint="eastAsia" w:ascii="黑体" w:hAnsi="黑体" w:eastAsia="黑体"/>
          <w:b w:val="0"/>
        </w:rPr>
        <w:t>其他重要事项的情况说明</w:t>
      </w:r>
      <w:bookmarkEnd w:id="130"/>
      <w:bookmarkEnd w:id="131"/>
      <w:bookmarkEnd w:id="132"/>
      <w:bookmarkEnd w:id="133"/>
    </w:p>
    <w:p>
      <w:pPr>
        <w:spacing w:line="600" w:lineRule="exact"/>
        <w:ind w:firstLine="643" w:firstLineChars="200"/>
        <w:outlineLvl w:val="2"/>
        <w:rPr>
          <w:rFonts w:ascii="仿宋" w:hAnsi="仿宋" w:eastAsia="仿宋"/>
          <w:sz w:val="32"/>
          <w:szCs w:val="32"/>
        </w:rPr>
      </w:pPr>
      <w:bookmarkStart w:id="134" w:name="_Toc15377222"/>
      <w:bookmarkStart w:id="135" w:name="_Toc24833"/>
      <w:r>
        <w:rPr>
          <w:rFonts w:hint="eastAsia" w:ascii="仿宋" w:hAnsi="仿宋" w:eastAsia="仿宋"/>
          <w:b/>
          <w:sz w:val="32"/>
          <w:szCs w:val="32"/>
        </w:rPr>
        <w:t>（一）机关运行经费支出情况</w:t>
      </w:r>
      <w:bookmarkEnd w:id="134"/>
      <w:bookmarkEnd w:id="13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州一医院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年决算数持平。</w:t>
      </w:r>
    </w:p>
    <w:p>
      <w:pPr>
        <w:spacing w:line="600" w:lineRule="exact"/>
        <w:ind w:firstLine="643" w:firstLineChars="200"/>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6" w:name="_Toc6729"/>
      <w:bookmarkStart w:id="137" w:name="_Toc15377223"/>
      <w:r>
        <w:rPr>
          <w:rFonts w:hint="eastAsia" w:ascii="仿宋" w:hAnsi="仿宋" w:eastAsia="仿宋"/>
          <w:b/>
          <w:sz w:val="32"/>
          <w:szCs w:val="32"/>
        </w:rPr>
        <w:t>（二）政府采购支出情况</w:t>
      </w:r>
      <w:bookmarkEnd w:id="136"/>
      <w:bookmarkEnd w:id="13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州一医院</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万元。主要用于政府采购目录类通用设备和</w:t>
      </w:r>
      <w:r>
        <w:rPr>
          <w:rFonts w:hint="eastAsia" w:ascii="仿宋_GB2312" w:eastAsia="仿宋_GB2312"/>
          <w:sz w:val="32"/>
          <w:szCs w:val="32"/>
          <w:lang w:eastAsia="zh-CN"/>
        </w:rPr>
        <w:t>保洁服务等</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8" w:name="_Toc15377224"/>
      <w:bookmarkStart w:id="139" w:name="_Toc31783"/>
      <w:r>
        <w:rPr>
          <w:rFonts w:hint="eastAsia" w:ascii="仿宋" w:hAnsi="仿宋" w:eastAsia="仿宋"/>
          <w:b/>
          <w:sz w:val="32"/>
          <w:szCs w:val="32"/>
        </w:rPr>
        <w:t>（三）国有资产占有使用情况</w:t>
      </w:r>
      <w:bookmarkEnd w:id="138"/>
      <w:bookmarkEnd w:id="13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州一医院</w:t>
      </w:r>
      <w:r>
        <w:rPr>
          <w:rFonts w:hint="eastAsia" w:ascii="仿宋_GB2312" w:eastAsia="仿宋_GB2312"/>
          <w:sz w:val="32"/>
          <w:szCs w:val="32"/>
        </w:rPr>
        <w:t>共有车辆</w:t>
      </w:r>
      <w:r>
        <w:rPr>
          <w:rFonts w:hint="eastAsia" w:ascii="仿宋_GB2312" w:eastAsia="仿宋_GB2312"/>
          <w:sz w:val="32"/>
          <w:szCs w:val="32"/>
          <w:lang w:val="en-US" w:eastAsia="zh-CN"/>
        </w:rPr>
        <w:t>29</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15</w:t>
      </w:r>
      <w:r>
        <w:rPr>
          <w:rFonts w:hint="eastAsia" w:ascii="仿宋_GB2312" w:eastAsia="仿宋_GB2312"/>
          <w:sz w:val="32"/>
          <w:szCs w:val="32"/>
        </w:rPr>
        <w:t>辆、特种专业技术用车</w:t>
      </w:r>
      <w:r>
        <w:rPr>
          <w:rFonts w:hint="eastAsia" w:ascii="仿宋_GB2312" w:eastAsia="仿宋_GB2312"/>
          <w:sz w:val="32"/>
          <w:szCs w:val="32"/>
          <w:lang w:val="en-US" w:eastAsia="zh-CN"/>
        </w:rPr>
        <w:t>14辆、</w:t>
      </w:r>
      <w:r>
        <w:rPr>
          <w:rFonts w:hint="eastAsia" w:ascii="仿宋_GB2312" w:eastAsia="仿宋_GB2312"/>
          <w:sz w:val="32"/>
          <w:szCs w:val="32"/>
        </w:rPr>
        <w:t>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101</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40" w:name="_Toc2072"/>
      <w:r>
        <w:rPr>
          <w:rFonts w:hint="eastAsia" w:ascii="仿宋" w:hAnsi="仿宋" w:eastAsia="仿宋"/>
          <w:b/>
          <w:sz w:val="32"/>
          <w:szCs w:val="32"/>
        </w:rPr>
        <w:t>（四）预算绩效管理情况</w:t>
      </w:r>
      <w:bookmarkEnd w:id="140"/>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2022年机关运转项目、非税收入安排日常维修维护费、2022年度公务用车招标项目（自有资金）、院外招标年度预算（自有资金安排）</w:t>
      </w:r>
      <w:r>
        <w:rPr>
          <w:rFonts w:hint="eastAsia" w:ascii="仿宋_GB2312" w:hAnsi="仿宋_GB2312" w:eastAsia="仿宋_GB2312" w:cs="仿宋_GB2312"/>
          <w:sz w:val="32"/>
          <w:szCs w:val="32"/>
          <w:lang w:eastAsia="zh-CN"/>
        </w:rPr>
        <w:t>项目等</w:t>
      </w:r>
      <w:r>
        <w:rPr>
          <w:rFonts w:hint="eastAsia" w:ascii="仿宋_GB2312" w:hAnsi="仿宋_GB2312" w:eastAsia="仿宋_GB2312" w:cs="仿宋_GB2312"/>
          <w:sz w:val="32"/>
          <w:szCs w:val="32"/>
          <w:lang w:val="en-US" w:eastAsia="zh-CN"/>
        </w:rPr>
        <w:t>4个项目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34个</w:t>
      </w:r>
      <w:r>
        <w:rPr>
          <w:rFonts w:hint="eastAsia" w:ascii="仿宋_GB2312" w:hAnsi="仿宋_GB2312" w:eastAsia="仿宋_GB2312" w:cs="仿宋_GB2312"/>
          <w:sz w:val="32"/>
          <w:szCs w:val="32"/>
        </w:rPr>
        <w:t>项目开展了绩效自评，</w:t>
      </w:r>
      <w:r>
        <w:rPr>
          <w:rFonts w:hint="eastAsia" w:ascii="仿宋_GB2312" w:hAnsi="仿宋_GB2312" w:eastAsia="仿宋_GB2312" w:cs="仿宋_GB2312"/>
          <w:sz w:val="32"/>
          <w:szCs w:val="32"/>
          <w:highlight w:val="none"/>
        </w:rPr>
        <w:t>绩效自评表见第四部分附件。</w:t>
      </w: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highlight w:val="none"/>
        </w:rPr>
      </w:pPr>
      <w:bookmarkStart w:id="141" w:name="_Toc32660"/>
      <w:bookmarkStart w:id="142" w:name="_Toc15377225"/>
      <w:bookmarkStart w:id="143" w:name="_Toc15396613"/>
      <w:bookmarkStart w:id="144" w:name="_Toc2231"/>
      <w:r>
        <w:rPr>
          <w:rFonts w:hint="eastAsia" w:ascii="黑体" w:hAnsi="黑体" w:eastAsia="黑体"/>
          <w:sz w:val="44"/>
          <w:szCs w:val="44"/>
          <w:highlight w:val="none"/>
        </w:rPr>
        <w:t>名</w:t>
      </w:r>
      <w:r>
        <w:rPr>
          <w:rStyle w:val="25"/>
          <w:rFonts w:hint="eastAsia" w:ascii="黑体" w:hAnsi="黑体" w:eastAsia="黑体"/>
          <w:b w:val="0"/>
          <w:highlight w:val="none"/>
        </w:rPr>
        <w:t>词解释</w:t>
      </w:r>
      <w:bookmarkEnd w:id="141"/>
      <w:bookmarkEnd w:id="142"/>
      <w:bookmarkEnd w:id="143"/>
      <w:bookmarkEnd w:id="144"/>
    </w:p>
    <w:p>
      <w:pPr>
        <w:spacing w:line="600" w:lineRule="exact"/>
        <w:jc w:val="left"/>
        <w:rPr>
          <w:rFonts w:ascii="宋体"/>
          <w:b/>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事业收入：指事业单位开展专业业务活动及辅助活动取得的收入。如医疗诊断、检查、检验、手术、护理等。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使用非财政拨款结余：指事业单位使用以前年度积累的非财政拨款结余弥补当年收支差额的金额。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.科学技术支出（类）技术研究与开发（款）应用技术研究与开发（项）：指从事技术开发研究和近期可望取得实用价值的专项技术开发研究的支出。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.科学技术支出（类）其他科学技术支出（款）其他科学技术支出（项）：指其他科学技术支出中除以上各种外用于科技方面的支出。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.社会保障和就业支出（类）行政事业单位离退休（款）机关事业单位基本养老保险缴费支出（项）:指反映机关事业单位实施养老保险制度由单位缴纳的基本养老保险费支出。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.社会保障和就业支出（类）行政事业单位离退休（款）机关事业单位职业年金缴费支出（项）:指反映机关事业单位实施养老保险制度由单位缴纳的职业年金支出。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.社会保障和就业支出（类）行政事业单位离退休（款）其他行政事业单位离退休支出（项）: 指反映行政事业单位开支的其他离退休支出。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.医疗卫生与计划生育支出（类）公立医院（款）综合医院（项）: 指反映卫计计生委所属城市综合性医院开展医疗业务活动等方面的支出。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.医疗卫生与计划生育支出（类）行政事业单位医疗支出（款）事业单位医疗支出（项）: 指反映单位为职工缴纳的基本医疗保险费。</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医疗卫生与计划生育支出（类）其他医疗卫生与计划生育支出（款）其他医疗卫生与计划生育支出（项）:指卫计委所属其他医疗卫生机构基本运行和开展业务活动的支出(其中包括医院物联网智慧护理管理系统等信息化专项支出);以及卫计委部门机动经费，主要用于部门增人增资、政策性因素等造成的人员经费不足。</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.住房保障支出（类）住房改革支出（款）住房公积金（项）: 指反映单位按规定为职工缴纳的住房公积金。</w:t>
      </w:r>
    </w:p>
    <w:p>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（解释本单位决算报表中涉及的全部功能分类科目至项级，不涉及的科目请自行删除。请参照《</w:t>
      </w:r>
      <w:r>
        <w:rPr>
          <w:rFonts w:ascii="仿宋" w:hAnsi="仿宋" w:eastAsia="仿宋"/>
          <w:b/>
          <w:sz w:val="32"/>
          <w:szCs w:val="32"/>
          <w:highlight w:val="none"/>
        </w:rPr>
        <w:t>20</w:t>
      </w:r>
      <w:r>
        <w:rPr>
          <w:rFonts w:hint="eastAsia" w:ascii="仿宋" w:hAnsi="仿宋" w:eastAsia="仿宋"/>
          <w:b/>
          <w:sz w:val="32"/>
          <w:szCs w:val="32"/>
          <w:highlight w:val="none"/>
        </w:rPr>
        <w:t>2</w:t>
      </w:r>
      <w:r>
        <w:rPr>
          <w:rFonts w:hint="eastAsia" w:ascii="仿宋" w:hAnsi="仿宋" w:eastAsia="仿宋"/>
          <w:b/>
          <w:sz w:val="32"/>
          <w:szCs w:val="32"/>
          <w:highlight w:val="none"/>
          <w:lang w:val="en-US" w:eastAsia="zh-CN"/>
        </w:rPr>
        <w:t>2</w:t>
      </w:r>
      <w:r>
        <w:rPr>
          <w:rFonts w:hint="eastAsia" w:ascii="仿宋" w:hAnsi="仿宋" w:eastAsia="仿宋"/>
          <w:b/>
          <w:sz w:val="32"/>
          <w:szCs w:val="32"/>
          <w:highlight w:val="none"/>
        </w:rPr>
        <w:t>年政府收支分类科目》增减内容。）</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18</w:t>
      </w:r>
      <w:r>
        <w:rPr>
          <w:rFonts w:ascii="仿宋_GB2312" w:eastAsia="仿宋_GB2312"/>
          <w:sz w:val="32"/>
          <w:szCs w:val="32"/>
          <w:highlight w:val="none"/>
        </w:rPr>
        <w:t>.</w:t>
      </w:r>
      <w:r>
        <w:rPr>
          <w:rFonts w:hint="eastAsia" w:ascii="仿宋_GB2312" w:eastAsia="仿宋_GB2312"/>
          <w:sz w:val="32"/>
          <w:szCs w:val="32"/>
          <w:highlight w:val="none"/>
        </w:rPr>
        <w:t>基本支出：指为保障机构正常运转、完成日常工作任务而发生的人员支出和公用支出。</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19</w:t>
      </w:r>
      <w:r>
        <w:rPr>
          <w:rFonts w:ascii="仿宋_GB2312" w:eastAsia="仿宋_GB2312"/>
          <w:sz w:val="32"/>
          <w:szCs w:val="32"/>
          <w:highlight w:val="none"/>
        </w:rPr>
        <w:t>.</w:t>
      </w:r>
      <w:r>
        <w:rPr>
          <w:rFonts w:hint="eastAsia" w:ascii="仿宋_GB2312" w:eastAsia="仿宋_GB2312"/>
          <w:sz w:val="32"/>
          <w:szCs w:val="32"/>
          <w:highlight w:val="none"/>
        </w:rPr>
        <w:t>项目支出：指在基本支出之外为完成特定行政任务和事业发展目标所发生的支出。</w:t>
      </w:r>
      <w:r>
        <w:rPr>
          <w:rFonts w:ascii="仿宋_GB2312" w:eastAsia="仿宋_GB2312"/>
          <w:sz w:val="32"/>
          <w:szCs w:val="32"/>
          <w:highlight w:val="none"/>
        </w:rPr>
        <w:t xml:space="preserve"> </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20</w:t>
      </w:r>
      <w:r>
        <w:rPr>
          <w:rFonts w:ascii="仿宋_GB2312" w:eastAsia="仿宋_GB2312"/>
          <w:sz w:val="32"/>
          <w:szCs w:val="32"/>
          <w:highlight w:val="none"/>
        </w:rPr>
        <w:t>.</w:t>
      </w:r>
      <w:r>
        <w:rPr>
          <w:rFonts w:hint="eastAsia" w:ascii="仿宋_GB2312" w:eastAsia="仿宋_GB2312"/>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cs="黑体"/>
          <w:color w:val="auto"/>
          <w:sz w:val="32"/>
          <w:szCs w:val="32"/>
          <w:highlight w:val="none"/>
          <w:lang w:eastAsia="zh-CN"/>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center"/>
        <w:rPr>
          <w:rStyle w:val="25"/>
          <w:rFonts w:ascii="黑体" w:hAnsi="黑体" w:eastAsia="黑体"/>
          <w:b w:val="0"/>
          <w:highlight w:val="none"/>
        </w:rPr>
      </w:pPr>
      <w:r>
        <w:rPr>
          <w:rFonts w:hint="eastAsia" w:ascii="仿宋" w:hAnsi="仿宋" w:eastAsia="仿宋"/>
          <w:b/>
          <w:sz w:val="32"/>
          <w:szCs w:val="32"/>
          <w:highlight w:val="none"/>
        </w:rPr>
        <w:t>（名词解释部分请根据各单位实际列支情况罗列，并根据本单位职责职能增减名词解释内容。）</w:t>
      </w:r>
      <w:bookmarkStart w:id="145" w:name="_Toc15377226"/>
      <w:r>
        <w:rPr>
          <w:rFonts w:ascii="宋体"/>
          <w:b/>
          <w:sz w:val="44"/>
          <w:szCs w:val="44"/>
          <w:highlight w:val="yellow"/>
        </w:rPr>
        <w:br w:type="page"/>
      </w:r>
      <w:bookmarkStart w:id="146" w:name="_Toc15396614"/>
      <w:r>
        <w:rPr>
          <w:rFonts w:hint="eastAsia" w:ascii="黑体" w:hAnsi="黑体" w:eastAsia="黑体"/>
          <w:sz w:val="44"/>
          <w:szCs w:val="44"/>
          <w:highlight w:val="none"/>
        </w:rPr>
        <w:t>第</w:t>
      </w:r>
      <w:r>
        <w:rPr>
          <w:rStyle w:val="25"/>
          <w:rFonts w:hint="eastAsia" w:ascii="黑体" w:hAnsi="黑体" w:eastAsia="黑体"/>
          <w:b w:val="0"/>
          <w:highlight w:val="none"/>
        </w:rPr>
        <w:t>四部分 附件</w:t>
      </w:r>
      <w:bookmarkEnd w:id="146"/>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147" w:name="_Toc32373"/>
      <w:r>
        <w:rPr>
          <w:rFonts w:hint="eastAsia" w:ascii="宋体" w:hAnsi="宋体" w:eastAsia="宋体" w:cs="宋体"/>
          <w:color w:val="auto"/>
          <w:kern w:val="0"/>
          <w:sz w:val="32"/>
          <w:szCs w:val="32"/>
          <w:highlight w:val="none"/>
          <w:lang w:val="en-US" w:eastAsia="zh-CN" w:bidi="ar-SA"/>
        </w:rPr>
        <w:t>部门预算项目支出绩效自评表（2022年度）</w:t>
      </w:r>
      <w:bookmarkEnd w:id="147"/>
    </w:p>
    <w:p>
      <w:pPr>
        <w:spacing w:line="572" w:lineRule="exact"/>
        <w:jc w:val="left"/>
        <w:outlineLvl w:val="0"/>
        <w:rPr>
          <w:rFonts w:ascii="仿宋_GB2312" w:hAnsi="仿宋_GB2312" w:eastAsia="仿宋_GB2312" w:cs="仿宋_GB2312"/>
          <w:sz w:val="32"/>
          <w:szCs w:val="32"/>
          <w:highlight w:val="none"/>
        </w:rPr>
      </w:pPr>
    </w:p>
    <w:p>
      <w:pPr>
        <w:spacing w:line="600" w:lineRule="exact"/>
        <w:jc w:val="both"/>
        <w:outlineLvl w:val="0"/>
        <w:rPr>
          <w:rFonts w:ascii="黑体" w:hAnsi="黑体" w:eastAsia="黑体"/>
          <w:sz w:val="44"/>
          <w:szCs w:val="44"/>
          <w:highlight w:val="yellow"/>
        </w:rPr>
      </w:pPr>
      <w:bookmarkStart w:id="148" w:name="_Toc15396618"/>
    </w:p>
    <w:p>
      <w:pPr>
        <w:spacing w:line="600" w:lineRule="exact"/>
        <w:jc w:val="center"/>
        <w:outlineLvl w:val="0"/>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pStyle w:val="2"/>
        <w:rPr>
          <w:rFonts w:ascii="黑体" w:hAnsi="黑体" w:eastAsia="黑体"/>
          <w:sz w:val="44"/>
          <w:szCs w:val="44"/>
          <w:highlight w:val="yellow"/>
        </w:rPr>
      </w:pPr>
    </w:p>
    <w:p>
      <w:pPr>
        <w:spacing w:line="600" w:lineRule="exact"/>
        <w:jc w:val="center"/>
        <w:outlineLvl w:val="0"/>
        <w:rPr>
          <w:rFonts w:ascii="仿宋" w:hAnsi="仿宋" w:eastAsia="仿宋"/>
          <w:highlight w:val="none"/>
        </w:rPr>
      </w:pPr>
      <w:bookmarkStart w:id="149" w:name="_Toc9357"/>
      <w:bookmarkStart w:id="150" w:name="_Toc19435"/>
      <w:r>
        <w:rPr>
          <w:rFonts w:hint="eastAsia" w:ascii="黑体" w:hAnsi="黑体" w:eastAsia="黑体"/>
          <w:sz w:val="44"/>
          <w:szCs w:val="44"/>
          <w:highlight w:val="none"/>
        </w:rPr>
        <w:t>第</w:t>
      </w:r>
      <w:r>
        <w:rPr>
          <w:rStyle w:val="25"/>
          <w:rFonts w:hint="eastAsia" w:ascii="黑体" w:hAnsi="黑体" w:eastAsia="黑体"/>
          <w:b w:val="0"/>
          <w:highlight w:val="none"/>
        </w:rPr>
        <w:t>五部分 附表</w:t>
      </w:r>
      <w:bookmarkEnd w:id="145"/>
      <w:bookmarkEnd w:id="148"/>
      <w:bookmarkEnd w:id="149"/>
      <w:bookmarkEnd w:id="150"/>
      <w:bookmarkStart w:id="151" w:name="_Toc15396619"/>
    </w:p>
    <w:p>
      <w:pPr>
        <w:pStyle w:val="4"/>
        <w:rPr>
          <w:rFonts w:ascii="仿宋" w:hAnsi="仿宋" w:eastAsia="仿宋"/>
          <w:highlight w:val="none"/>
        </w:rPr>
      </w:pPr>
      <w:bookmarkStart w:id="152" w:name="_Toc4328"/>
      <w:bookmarkStart w:id="153" w:name="_Toc14699"/>
      <w:r>
        <w:rPr>
          <w:rFonts w:hint="eastAsia" w:ascii="仿宋" w:hAnsi="仿宋" w:eastAsia="仿宋"/>
          <w:b w:val="0"/>
          <w:highlight w:val="none"/>
        </w:rPr>
        <w:t>一、收</w:t>
      </w:r>
      <w:r>
        <w:rPr>
          <w:rStyle w:val="26"/>
          <w:rFonts w:hint="eastAsia" w:ascii="仿宋" w:hAnsi="仿宋" w:eastAsia="仿宋"/>
          <w:b w:val="0"/>
          <w:bCs w:val="0"/>
          <w:highlight w:val="none"/>
        </w:rPr>
        <w:t>入支出决算总表</w:t>
      </w:r>
      <w:bookmarkEnd w:id="151"/>
      <w:bookmarkEnd w:id="152"/>
      <w:bookmarkEnd w:id="153"/>
    </w:p>
    <w:p>
      <w:pPr>
        <w:pStyle w:val="4"/>
        <w:rPr>
          <w:rFonts w:ascii="仿宋" w:hAnsi="仿宋" w:eastAsia="仿宋"/>
          <w:highlight w:val="none"/>
        </w:rPr>
      </w:pPr>
      <w:bookmarkStart w:id="154" w:name="_Toc7005"/>
      <w:bookmarkStart w:id="155" w:name="_Toc15396620"/>
      <w:bookmarkStart w:id="156" w:name="_Toc2424"/>
      <w:r>
        <w:rPr>
          <w:rFonts w:hint="eastAsia" w:ascii="仿宋" w:hAnsi="仿宋" w:eastAsia="仿宋"/>
          <w:b w:val="0"/>
          <w:highlight w:val="none"/>
        </w:rPr>
        <w:t>二、收</w:t>
      </w:r>
      <w:r>
        <w:rPr>
          <w:rStyle w:val="26"/>
          <w:rFonts w:hint="eastAsia" w:ascii="仿宋" w:hAnsi="仿宋" w:eastAsia="仿宋"/>
          <w:b w:val="0"/>
          <w:bCs w:val="0"/>
          <w:highlight w:val="none"/>
        </w:rPr>
        <w:t>入决算表</w:t>
      </w:r>
      <w:bookmarkEnd w:id="154"/>
      <w:bookmarkEnd w:id="155"/>
      <w:bookmarkEnd w:id="156"/>
    </w:p>
    <w:p>
      <w:pPr>
        <w:pStyle w:val="4"/>
        <w:rPr>
          <w:rFonts w:ascii="仿宋" w:hAnsi="仿宋" w:eastAsia="仿宋"/>
          <w:highlight w:val="none"/>
        </w:rPr>
      </w:pPr>
      <w:bookmarkStart w:id="157" w:name="_Toc15396621"/>
      <w:bookmarkStart w:id="158" w:name="_Toc19613"/>
      <w:bookmarkStart w:id="159" w:name="_Toc16664"/>
      <w:r>
        <w:rPr>
          <w:rStyle w:val="26"/>
          <w:rFonts w:hint="eastAsia" w:ascii="仿宋" w:hAnsi="仿宋" w:eastAsia="仿宋"/>
          <w:b w:val="0"/>
          <w:bCs w:val="0"/>
          <w:highlight w:val="none"/>
        </w:rPr>
        <w:t>三、</w:t>
      </w:r>
      <w:r>
        <w:rPr>
          <w:rFonts w:hint="eastAsia" w:ascii="仿宋" w:hAnsi="仿宋" w:eastAsia="仿宋"/>
          <w:b w:val="0"/>
          <w:highlight w:val="none"/>
        </w:rPr>
        <w:t>支</w:t>
      </w:r>
      <w:r>
        <w:rPr>
          <w:rStyle w:val="26"/>
          <w:rFonts w:hint="eastAsia" w:ascii="仿宋" w:hAnsi="仿宋" w:eastAsia="仿宋"/>
          <w:b w:val="0"/>
          <w:bCs w:val="0"/>
          <w:highlight w:val="none"/>
        </w:rPr>
        <w:t>出决算表</w:t>
      </w:r>
      <w:bookmarkEnd w:id="157"/>
      <w:bookmarkEnd w:id="158"/>
      <w:bookmarkEnd w:id="159"/>
    </w:p>
    <w:p>
      <w:pPr>
        <w:pStyle w:val="4"/>
        <w:rPr>
          <w:rFonts w:ascii="仿宋" w:hAnsi="仿宋" w:eastAsia="仿宋"/>
          <w:b w:val="0"/>
          <w:highlight w:val="none"/>
        </w:rPr>
      </w:pPr>
      <w:bookmarkStart w:id="160" w:name="_Toc15396622"/>
      <w:bookmarkStart w:id="161" w:name="_Toc18802"/>
      <w:bookmarkStart w:id="162" w:name="_Toc3730"/>
      <w:r>
        <w:rPr>
          <w:rStyle w:val="26"/>
          <w:rFonts w:hint="eastAsia" w:ascii="仿宋" w:hAnsi="仿宋" w:eastAsia="仿宋"/>
          <w:b w:val="0"/>
          <w:bCs w:val="0"/>
          <w:highlight w:val="none"/>
        </w:rPr>
        <w:t>四、</w:t>
      </w:r>
      <w:r>
        <w:rPr>
          <w:rFonts w:hint="eastAsia" w:ascii="仿宋" w:hAnsi="仿宋" w:eastAsia="仿宋"/>
          <w:b w:val="0"/>
          <w:highlight w:val="none"/>
        </w:rPr>
        <w:t>财</w:t>
      </w:r>
      <w:r>
        <w:rPr>
          <w:rStyle w:val="26"/>
          <w:rFonts w:hint="eastAsia" w:ascii="仿宋" w:hAnsi="仿宋" w:eastAsia="仿宋"/>
          <w:b w:val="0"/>
          <w:bCs w:val="0"/>
          <w:highlight w:val="none"/>
        </w:rPr>
        <w:t>政拨款收入支出决算总表</w:t>
      </w:r>
      <w:bookmarkEnd w:id="160"/>
      <w:bookmarkEnd w:id="161"/>
      <w:bookmarkEnd w:id="162"/>
    </w:p>
    <w:p>
      <w:pPr>
        <w:pStyle w:val="4"/>
        <w:rPr>
          <w:rStyle w:val="26"/>
          <w:rFonts w:ascii="仿宋" w:hAnsi="仿宋" w:eastAsia="仿宋"/>
          <w:b w:val="0"/>
          <w:bCs w:val="0"/>
          <w:highlight w:val="none"/>
        </w:rPr>
      </w:pPr>
      <w:bookmarkStart w:id="163" w:name="_Toc15396623"/>
      <w:bookmarkStart w:id="164" w:name="_Toc23008"/>
      <w:bookmarkStart w:id="165" w:name="_Toc17923"/>
      <w:r>
        <w:rPr>
          <w:rStyle w:val="26"/>
          <w:rFonts w:hint="eastAsia" w:ascii="仿宋" w:hAnsi="仿宋" w:eastAsia="仿宋"/>
          <w:b w:val="0"/>
          <w:bCs w:val="0"/>
          <w:highlight w:val="none"/>
        </w:rPr>
        <w:t>五、</w:t>
      </w:r>
      <w:r>
        <w:rPr>
          <w:rFonts w:hint="eastAsia" w:ascii="仿宋" w:hAnsi="仿宋" w:eastAsia="仿宋"/>
          <w:b w:val="0"/>
          <w:highlight w:val="none"/>
        </w:rPr>
        <w:t>财</w:t>
      </w:r>
      <w:r>
        <w:rPr>
          <w:rStyle w:val="26"/>
          <w:rFonts w:hint="eastAsia" w:ascii="仿宋" w:hAnsi="仿宋" w:eastAsia="仿宋"/>
          <w:b w:val="0"/>
          <w:bCs w:val="0"/>
          <w:highlight w:val="none"/>
        </w:rPr>
        <w:t>政拨款支出决算明细表</w:t>
      </w:r>
      <w:bookmarkEnd w:id="163"/>
      <w:bookmarkEnd w:id="164"/>
      <w:bookmarkEnd w:id="165"/>
      <w:bookmarkStart w:id="166" w:name="_Toc15396624"/>
    </w:p>
    <w:p>
      <w:pPr>
        <w:pStyle w:val="4"/>
        <w:rPr>
          <w:rFonts w:ascii="仿宋" w:hAnsi="仿宋" w:eastAsia="仿宋"/>
          <w:highlight w:val="none"/>
        </w:rPr>
      </w:pPr>
      <w:bookmarkStart w:id="167" w:name="_Toc10689"/>
      <w:bookmarkStart w:id="168" w:name="_Toc26449"/>
      <w:r>
        <w:rPr>
          <w:rStyle w:val="26"/>
          <w:rFonts w:hint="eastAsia" w:ascii="仿宋" w:hAnsi="仿宋" w:eastAsia="仿宋"/>
          <w:b w:val="0"/>
          <w:bCs w:val="0"/>
          <w:highlight w:val="none"/>
        </w:rPr>
        <w:t>六、</w:t>
      </w:r>
      <w:r>
        <w:rPr>
          <w:rFonts w:hint="eastAsia" w:ascii="仿宋" w:hAnsi="仿宋" w:eastAsia="仿宋"/>
          <w:b w:val="0"/>
          <w:highlight w:val="none"/>
        </w:rPr>
        <w:t>一</w:t>
      </w:r>
      <w:r>
        <w:rPr>
          <w:rStyle w:val="26"/>
          <w:rFonts w:hint="eastAsia" w:ascii="仿宋" w:hAnsi="仿宋" w:eastAsia="仿宋"/>
          <w:b w:val="0"/>
          <w:bCs w:val="0"/>
          <w:highlight w:val="none"/>
        </w:rPr>
        <w:t>般公共预算财政拨款支出决算表</w:t>
      </w:r>
      <w:bookmarkEnd w:id="166"/>
      <w:bookmarkEnd w:id="167"/>
      <w:bookmarkEnd w:id="168"/>
    </w:p>
    <w:p>
      <w:pPr>
        <w:pStyle w:val="4"/>
        <w:rPr>
          <w:rFonts w:ascii="仿宋" w:hAnsi="仿宋" w:eastAsia="仿宋"/>
          <w:highlight w:val="none"/>
        </w:rPr>
      </w:pPr>
      <w:bookmarkStart w:id="169" w:name="_Toc15396625"/>
      <w:bookmarkStart w:id="170" w:name="_Toc13522"/>
      <w:bookmarkStart w:id="171" w:name="_Toc26747"/>
      <w:r>
        <w:rPr>
          <w:rStyle w:val="26"/>
          <w:rFonts w:hint="eastAsia" w:ascii="仿宋" w:hAnsi="仿宋" w:eastAsia="仿宋"/>
          <w:b w:val="0"/>
          <w:bCs w:val="0"/>
          <w:highlight w:val="none"/>
        </w:rPr>
        <w:t>七、</w:t>
      </w:r>
      <w:r>
        <w:rPr>
          <w:rFonts w:hint="eastAsia" w:ascii="仿宋" w:hAnsi="仿宋" w:eastAsia="仿宋"/>
          <w:b w:val="0"/>
          <w:highlight w:val="none"/>
        </w:rPr>
        <w:t>一</w:t>
      </w:r>
      <w:r>
        <w:rPr>
          <w:rStyle w:val="26"/>
          <w:rFonts w:hint="eastAsia" w:ascii="仿宋" w:hAnsi="仿宋" w:eastAsia="仿宋"/>
          <w:b w:val="0"/>
          <w:bCs w:val="0"/>
          <w:highlight w:val="none"/>
        </w:rPr>
        <w:t>般公共预算财政拨款支出决算明细表</w:t>
      </w:r>
      <w:bookmarkEnd w:id="169"/>
      <w:bookmarkEnd w:id="170"/>
      <w:bookmarkEnd w:id="171"/>
    </w:p>
    <w:p>
      <w:pPr>
        <w:pStyle w:val="4"/>
        <w:rPr>
          <w:rFonts w:ascii="仿宋" w:hAnsi="仿宋" w:eastAsia="仿宋"/>
          <w:highlight w:val="none"/>
        </w:rPr>
      </w:pPr>
      <w:bookmarkStart w:id="172" w:name="_Toc26870"/>
      <w:bookmarkStart w:id="173" w:name="_Toc15396626"/>
      <w:bookmarkStart w:id="174" w:name="_Toc6858"/>
      <w:r>
        <w:rPr>
          <w:rStyle w:val="26"/>
          <w:rFonts w:hint="eastAsia" w:ascii="仿宋" w:hAnsi="仿宋" w:eastAsia="仿宋"/>
          <w:b w:val="0"/>
          <w:bCs w:val="0"/>
          <w:highlight w:val="none"/>
        </w:rPr>
        <w:t>八、</w:t>
      </w:r>
      <w:r>
        <w:rPr>
          <w:rFonts w:hint="eastAsia" w:ascii="仿宋" w:hAnsi="仿宋" w:eastAsia="仿宋"/>
          <w:b w:val="0"/>
          <w:highlight w:val="none"/>
        </w:rPr>
        <w:t>一</w:t>
      </w:r>
      <w:r>
        <w:rPr>
          <w:rStyle w:val="26"/>
          <w:rFonts w:hint="eastAsia" w:ascii="仿宋" w:hAnsi="仿宋" w:eastAsia="仿宋"/>
          <w:b w:val="0"/>
          <w:bCs w:val="0"/>
          <w:highlight w:val="none"/>
        </w:rPr>
        <w:t>般公共预算财政拨款基本支出决算表</w:t>
      </w:r>
      <w:bookmarkEnd w:id="172"/>
      <w:bookmarkEnd w:id="173"/>
      <w:bookmarkEnd w:id="174"/>
    </w:p>
    <w:p>
      <w:pPr>
        <w:pStyle w:val="4"/>
        <w:rPr>
          <w:rFonts w:ascii="仿宋" w:hAnsi="仿宋" w:eastAsia="仿宋"/>
          <w:highlight w:val="none"/>
        </w:rPr>
      </w:pPr>
      <w:bookmarkStart w:id="175" w:name="_Toc15396627"/>
      <w:bookmarkStart w:id="176" w:name="_Toc15409"/>
      <w:bookmarkStart w:id="177" w:name="_Toc2727"/>
      <w:r>
        <w:rPr>
          <w:rStyle w:val="26"/>
          <w:rFonts w:hint="eastAsia" w:ascii="仿宋" w:hAnsi="仿宋" w:eastAsia="仿宋"/>
          <w:b w:val="0"/>
          <w:bCs w:val="0"/>
          <w:highlight w:val="none"/>
        </w:rPr>
        <w:t>九、</w:t>
      </w:r>
      <w:r>
        <w:rPr>
          <w:rFonts w:hint="eastAsia" w:ascii="仿宋" w:hAnsi="仿宋" w:eastAsia="仿宋"/>
          <w:b w:val="0"/>
          <w:highlight w:val="none"/>
        </w:rPr>
        <w:t>一</w:t>
      </w:r>
      <w:r>
        <w:rPr>
          <w:rStyle w:val="26"/>
          <w:rFonts w:hint="eastAsia" w:ascii="仿宋" w:hAnsi="仿宋" w:eastAsia="仿宋"/>
          <w:b w:val="0"/>
          <w:bCs w:val="0"/>
          <w:highlight w:val="none"/>
        </w:rPr>
        <w:t>般公共预算财政拨款项目支出决算表</w:t>
      </w:r>
      <w:bookmarkEnd w:id="175"/>
      <w:bookmarkEnd w:id="176"/>
      <w:bookmarkEnd w:id="177"/>
    </w:p>
    <w:p>
      <w:pPr>
        <w:pStyle w:val="4"/>
        <w:rPr>
          <w:rStyle w:val="26"/>
          <w:rFonts w:hint="eastAsia" w:ascii="仿宋" w:hAnsi="仿宋" w:eastAsia="仿宋"/>
          <w:b w:val="0"/>
          <w:bCs w:val="0"/>
          <w:highlight w:val="none"/>
        </w:rPr>
      </w:pPr>
      <w:bookmarkStart w:id="178" w:name="_Toc28193"/>
      <w:bookmarkStart w:id="179" w:name="_Toc15396628"/>
      <w:bookmarkStart w:id="180" w:name="_Toc25723"/>
      <w:r>
        <w:rPr>
          <w:rStyle w:val="26"/>
          <w:rFonts w:hint="eastAsia" w:ascii="仿宋" w:hAnsi="仿宋" w:eastAsia="仿宋"/>
          <w:b w:val="0"/>
          <w:bCs w:val="0"/>
          <w:highlight w:val="none"/>
        </w:rPr>
        <w:t>十、</w:t>
      </w:r>
      <w:r>
        <w:rPr>
          <w:rFonts w:hint="eastAsia" w:ascii="仿宋" w:hAnsi="仿宋" w:eastAsia="仿宋"/>
          <w:b w:val="0"/>
          <w:highlight w:val="none"/>
        </w:rPr>
        <w:t>政</w:t>
      </w:r>
      <w:r>
        <w:rPr>
          <w:rStyle w:val="26"/>
          <w:rFonts w:hint="eastAsia" w:ascii="仿宋" w:hAnsi="仿宋" w:eastAsia="仿宋"/>
          <w:b w:val="0"/>
          <w:bCs w:val="0"/>
          <w:highlight w:val="none"/>
        </w:rPr>
        <w:t>府性基金预算财政拨款收入支出决算表</w:t>
      </w:r>
      <w:bookmarkEnd w:id="178"/>
    </w:p>
    <w:bookmarkEnd w:id="179"/>
    <w:bookmarkEnd w:id="180"/>
    <w:p>
      <w:pPr>
        <w:pStyle w:val="4"/>
        <w:rPr>
          <w:rFonts w:ascii="仿宋" w:hAnsi="仿宋" w:eastAsia="仿宋"/>
          <w:highlight w:val="none"/>
        </w:rPr>
      </w:pPr>
      <w:bookmarkStart w:id="181" w:name="_Toc29406"/>
      <w:bookmarkStart w:id="182" w:name="_Toc15396629"/>
      <w:bookmarkStart w:id="183" w:name="_Toc5175"/>
      <w:r>
        <w:rPr>
          <w:rStyle w:val="26"/>
          <w:rFonts w:hint="eastAsia" w:ascii="仿宋" w:hAnsi="仿宋" w:eastAsia="仿宋"/>
          <w:b w:val="0"/>
          <w:bCs w:val="0"/>
          <w:highlight w:val="none"/>
        </w:rPr>
        <w:t>十一、</w:t>
      </w:r>
      <w:bookmarkEnd w:id="181"/>
      <w:bookmarkEnd w:id="182"/>
      <w:r>
        <w:rPr>
          <w:rFonts w:hint="eastAsia" w:ascii="仿宋" w:hAnsi="仿宋" w:eastAsia="仿宋"/>
          <w:b w:val="0"/>
          <w:highlight w:val="none"/>
        </w:rPr>
        <w:t>国</w:t>
      </w:r>
      <w:r>
        <w:rPr>
          <w:rStyle w:val="26"/>
          <w:rFonts w:hint="eastAsia" w:ascii="仿宋" w:hAnsi="仿宋" w:eastAsia="仿宋"/>
          <w:b w:val="0"/>
          <w:bCs w:val="0"/>
          <w:highlight w:val="none"/>
        </w:rPr>
        <w:t>有资本经营预算财政拨款收入支出决算表</w:t>
      </w:r>
      <w:bookmarkEnd w:id="183"/>
    </w:p>
    <w:p>
      <w:pPr>
        <w:pStyle w:val="4"/>
        <w:rPr>
          <w:rStyle w:val="26"/>
          <w:rFonts w:hint="eastAsia" w:ascii="仿宋" w:hAnsi="仿宋" w:eastAsia="仿宋"/>
          <w:b w:val="0"/>
          <w:bCs w:val="0"/>
          <w:highlight w:val="none"/>
        </w:rPr>
      </w:pPr>
      <w:bookmarkStart w:id="184" w:name="_Toc13145"/>
      <w:bookmarkStart w:id="185" w:name="_Toc15396630"/>
      <w:bookmarkStart w:id="186" w:name="_Toc10844"/>
      <w:r>
        <w:rPr>
          <w:rStyle w:val="26"/>
          <w:rFonts w:hint="eastAsia" w:ascii="仿宋" w:hAnsi="仿宋" w:eastAsia="仿宋"/>
          <w:b w:val="0"/>
          <w:bCs w:val="0"/>
          <w:highlight w:val="none"/>
        </w:rPr>
        <w:t>十二、国有资本经营预算财政拨款支出决算表</w:t>
      </w:r>
      <w:bookmarkEnd w:id="184"/>
    </w:p>
    <w:bookmarkEnd w:id="185"/>
    <w:bookmarkEnd w:id="186"/>
    <w:p>
      <w:pPr>
        <w:pStyle w:val="4"/>
        <w:rPr>
          <w:rFonts w:eastAsia="仿宋"/>
          <w:highlight w:val="yellow"/>
        </w:rPr>
      </w:pPr>
      <w:bookmarkStart w:id="187" w:name="_Toc15396631"/>
      <w:bookmarkStart w:id="188" w:name="_Toc12961"/>
      <w:bookmarkStart w:id="189" w:name="_Toc22775"/>
      <w:r>
        <w:rPr>
          <w:rStyle w:val="26"/>
          <w:rFonts w:hint="eastAsia" w:ascii="仿宋" w:hAnsi="仿宋" w:eastAsia="仿宋"/>
          <w:b w:val="0"/>
          <w:bCs w:val="0"/>
          <w:highlight w:val="none"/>
        </w:rPr>
        <w:t>十三、</w:t>
      </w:r>
      <w:bookmarkEnd w:id="187"/>
      <w:bookmarkEnd w:id="188"/>
      <w:r>
        <w:rPr>
          <w:rStyle w:val="26"/>
          <w:rFonts w:hint="eastAsia" w:ascii="仿宋" w:hAnsi="仿宋" w:eastAsia="仿宋"/>
          <w:b w:val="0"/>
          <w:bCs w:val="0"/>
          <w:highlight w:val="none"/>
        </w:rPr>
        <w:t>财政拨款“三公”经费支出决算表</w:t>
      </w:r>
      <w:bookmarkEnd w:id="18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B5D0A-57FF-46C7-9D48-171AF606EE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00F451C6-251D-407F-A027-B693AB3D3BEB}"/>
  </w:font>
  <w:font w:name="仿宋_GB2312">
    <w:altName w:val="仿宋"/>
    <w:panose1 w:val="00000000000000000000"/>
    <w:charset w:val="86"/>
    <w:family w:val="modern"/>
    <w:pitch w:val="default"/>
    <w:sig w:usb0="00000000" w:usb1="00000000" w:usb2="00000000" w:usb3="00000000" w:csb0="00040000" w:csb1="00000000"/>
    <w:embedRegular r:id="rId3" w:fontKey="{D3332748-AC68-4A10-8BC9-6D2B777729D4}"/>
  </w:font>
  <w:font w:name="仿宋">
    <w:panose1 w:val="02010609060101010101"/>
    <w:charset w:val="86"/>
    <w:family w:val="auto"/>
    <w:pitch w:val="default"/>
    <w:sig w:usb0="800002BF" w:usb1="38CF7CFA" w:usb2="00000016" w:usb3="00000000" w:csb0="00040001" w:csb1="00000000"/>
    <w:embedRegular r:id="rId4" w:fontKey="{137C86C9-F11C-4341-8501-EB281CE6F528}"/>
  </w:font>
  <w:font w:name="方正小标宋简体">
    <w:panose1 w:val="02000000000000000000"/>
    <w:charset w:val="86"/>
    <w:family w:val="script"/>
    <w:pitch w:val="default"/>
    <w:sig w:usb0="00000001" w:usb1="08000000" w:usb2="00000000" w:usb3="00000000" w:csb0="00040000" w:csb1="00000000"/>
    <w:embedRegular r:id="rId5" w:fontKey="{4DC17991-D1DF-4353-8ECB-409DF8286E1C}"/>
  </w:font>
  <w:font w:name="微软雅黑">
    <w:panose1 w:val="020B0503020204020204"/>
    <w:charset w:val="86"/>
    <w:family w:val="auto"/>
    <w:pitch w:val="default"/>
    <w:sig w:usb0="80000287" w:usb1="280F3C52" w:usb2="00000016" w:usb3="00000000" w:csb0="0004001F" w:csb1="00000000"/>
    <w:embedRegular r:id="rId6" w:fontKey="{BEBE03E3-DBA9-4341-A5FE-AB9E14763C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D9C75E2"/>
    <w:multiLevelType w:val="singleLevel"/>
    <w:tmpl w:val="4D9C75E2"/>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WViN2EwYmNjYTRhY2RjNTNlYzc2YjQ2MmM0Y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D22"/>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54B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A58CB"/>
    <w:rsid w:val="07BA1C15"/>
    <w:rsid w:val="0A2032A3"/>
    <w:rsid w:val="0B8A37D8"/>
    <w:rsid w:val="10C055FF"/>
    <w:rsid w:val="118107EC"/>
    <w:rsid w:val="11DD6519"/>
    <w:rsid w:val="13174EF0"/>
    <w:rsid w:val="16BB723D"/>
    <w:rsid w:val="18015F3F"/>
    <w:rsid w:val="19B0053E"/>
    <w:rsid w:val="1BC9089D"/>
    <w:rsid w:val="1BE8440E"/>
    <w:rsid w:val="1D155CEE"/>
    <w:rsid w:val="1D3F5A31"/>
    <w:rsid w:val="1D7321B3"/>
    <w:rsid w:val="20F57F95"/>
    <w:rsid w:val="21F66144"/>
    <w:rsid w:val="22EF1CCD"/>
    <w:rsid w:val="234E7E7B"/>
    <w:rsid w:val="240371BF"/>
    <w:rsid w:val="25C741E6"/>
    <w:rsid w:val="27842671"/>
    <w:rsid w:val="289E0834"/>
    <w:rsid w:val="29F63D18"/>
    <w:rsid w:val="29FD04D3"/>
    <w:rsid w:val="2ABE7A3E"/>
    <w:rsid w:val="2EFA178C"/>
    <w:rsid w:val="2FE71C44"/>
    <w:rsid w:val="30B46D73"/>
    <w:rsid w:val="319F7F4E"/>
    <w:rsid w:val="39AE70AB"/>
    <w:rsid w:val="3C0C0783"/>
    <w:rsid w:val="3C4C0B25"/>
    <w:rsid w:val="3D98044D"/>
    <w:rsid w:val="3F9F3A96"/>
    <w:rsid w:val="41032072"/>
    <w:rsid w:val="493C27E9"/>
    <w:rsid w:val="496F39ED"/>
    <w:rsid w:val="499A72FA"/>
    <w:rsid w:val="49FF41D3"/>
    <w:rsid w:val="4BE068DB"/>
    <w:rsid w:val="4BF6002B"/>
    <w:rsid w:val="4ECE2238"/>
    <w:rsid w:val="4F5D053B"/>
    <w:rsid w:val="51DB4B86"/>
    <w:rsid w:val="52501699"/>
    <w:rsid w:val="52A1794C"/>
    <w:rsid w:val="55333C3E"/>
    <w:rsid w:val="5627143F"/>
    <w:rsid w:val="5A9A500E"/>
    <w:rsid w:val="64727BA3"/>
    <w:rsid w:val="64CA39A1"/>
    <w:rsid w:val="6C4A05C8"/>
    <w:rsid w:val="6E522010"/>
    <w:rsid w:val="705B61C5"/>
    <w:rsid w:val="72734D90"/>
    <w:rsid w:val="76150D56"/>
    <w:rsid w:val="783655E8"/>
    <w:rsid w:val="79E7B28D"/>
    <w:rsid w:val="7A075FF5"/>
    <w:rsid w:val="7AF97A75"/>
    <w:rsid w:val="7C29244D"/>
    <w:rsid w:val="7CD12A5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4180;&#24230;&#19978;&#25253;&#36164;&#26009;\&#39044;&#12289;&#20915;&#31639;&#20844;&#24320;&#36164;&#26009;\&#24030;&#19968;&#21307;&#38498;\&#36164;&#26009;\&#32534;&#25253;&#20915;&#31639;&#35828;&#26126;&#33609;&#31295;&#21333;.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[编报决算说明草稿单.xlsx]Sheet1!$N$2</c:f>
              <c:strCache>
                <c:ptCount val="1"/>
                <c:pt idx="0">
                  <c:v>收、支总计</c:v>
                </c:pt>
              </c:strCache>
            </c:strRef>
          </c:tx>
          <c:spPr>
            <a:solidFill>
              <a:schemeClr val="accent2"/>
            </a:solidFill>
            <a:ln>
              <a:noFill/>
            </a:ln>
            <a:effectLst/>
          </c:spPr>
          <c:invertIfNegative val="0"/>
          <c:dPt>
            <c:idx val="1"/>
            <c:invertIfNegative val="0"/>
            <c:bubble3D val="0"/>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[编报决算说明草稿单.xlsx]Sheet1!$M$3:$M$4</c:f>
              <c:strCache>
                <c:ptCount val="2"/>
                <c:pt idx="0">
                  <c:v>2021年</c:v>
                </c:pt>
                <c:pt idx="1">
                  <c:v>2022年</c:v>
                </c:pt>
              </c:strCache>
            </c:strRef>
          </c:cat>
          <c:val>
            <c:numRef>
              <c:f>[编报决算说明草稿单.xlsx]Sheet1!$N$3:$N$4</c:f>
              <c:numCache>
                <c:formatCode>General</c:formatCode>
                <c:ptCount val="2"/>
                <c:pt idx="0">
                  <c:v>127255.35</c:v>
                </c:pt>
                <c:pt idx="1">
                  <c:v>120247.22</c:v>
                </c:pt>
              </c:numCache>
            </c:numRef>
          </c:val>
        </c:ser>
        <c:dLbls>
          <c:showLegendKey val="0"/>
          <c:showVal val="1"/>
          <c:showCatName val="0"/>
          <c:showSerName val="0"/>
          <c:showPercent val="0"/>
          <c:showBubbleSize val="0"/>
        </c:dLbls>
        <c:gapWidth val="219"/>
        <c:overlap val="-27"/>
        <c:axId val="367430702"/>
        <c:axId val="127225193"/>
      </c:barChart>
      <c:catAx>
        <c:axId val="3674307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225193"/>
        <c:crosses val="autoZero"/>
        <c:auto val="1"/>
        <c:lblAlgn val="ctr"/>
        <c:lblOffset val="100"/>
        <c:noMultiLvlLbl val="0"/>
      </c:catAx>
      <c:valAx>
        <c:axId val="1272251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4307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cap="all" spc="0" baseline="0">
                <a:solidFill>
                  <a:schemeClr val="tx1"/>
                </a:solidFill>
                <a:latin typeface="+mn-lt"/>
                <a:ea typeface="+mn-ea"/>
                <a:cs typeface="+mn-cs"/>
              </a:defRPr>
            </a:pPr>
            <a:r>
              <a:t>收入决算结构图</a:t>
            </a:r>
          </a:p>
        </c:rich>
      </c:tx>
      <c:layout/>
      <c:overlay val="0"/>
      <c:spPr>
        <a:noFill/>
        <a:ln>
          <a:noFill/>
        </a:ln>
        <a:effectLst/>
      </c:spPr>
    </c:title>
    <c:autoTitleDeleted val="0"/>
    <c:view3D>
      <c:rotX val="4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52939639404233"/>
          <c:y val="0.195188533627343"/>
          <c:w val="0.829412072119153"/>
          <c:h val="0.689446527012128"/>
        </c:manualLayout>
      </c:layout>
      <c:pie3DChart>
        <c:varyColors val="1"/>
        <c:ser>
          <c:idx val="0"/>
          <c:order val="0"/>
          <c:spPr>
            <a:ln w="19050">
              <a:solidFill>
                <a:schemeClr val="bg1"/>
              </a:solidFill>
            </a:ln>
            <a:scene3d>
              <a:camera prst="orthographicFront"/>
              <a:lightRig rig="threePt" dir="t"/>
            </a:scene3d>
            <a:sp3d contourW="19050"/>
          </c:spPr>
          <c:explosion val="0"/>
          <c:dPt>
            <c:idx val="0"/>
            <c:bubble3D val="0"/>
            <c:spPr>
              <a:solidFill>
                <a:schemeClr val="accent1"/>
              </a:solidFill>
              <a:ln w="19050">
                <a:solidFill>
                  <a:schemeClr val="bg1"/>
                </a:solidFill>
              </a:ln>
              <a:effectLst>
                <a:outerShdw blurRad="88900" sx="102000" sy="102000" algn="ctr" rotWithShape="0">
                  <a:prstClr val="black">
                    <a:alpha val="10000"/>
                  </a:prstClr>
                </a:outerShdw>
              </a:effectLst>
              <a:scene3d>
                <a:camera prst="orthographicFront"/>
                <a:lightRig rig="threePt" dir="t"/>
              </a:scene3d>
              <a:sp3d contourW="19050"/>
            </c:spPr>
          </c:dPt>
          <c:dPt>
            <c:idx val="1"/>
            <c:bubble3D val="0"/>
            <c:spPr>
              <a:solidFill>
                <a:schemeClr val="accent2"/>
              </a:solidFill>
              <a:ln w="19050">
                <a:solidFill>
                  <a:schemeClr val="bg1"/>
                </a:solidFill>
              </a:ln>
              <a:effectLst>
                <a:outerShdw blurRad="88900" sx="102000" sy="102000" algn="ctr" rotWithShape="0">
                  <a:prstClr val="black">
                    <a:alpha val="10000"/>
                  </a:prstClr>
                </a:outerShdw>
              </a:effectLst>
              <a:scene3d>
                <a:camera prst="orthographicFront"/>
                <a:lightRig rig="threePt" dir="t"/>
              </a:scene3d>
              <a:sp3d contourW="19050"/>
            </c:spPr>
          </c:dPt>
          <c:dPt>
            <c:idx val="2"/>
            <c:bubble3D val="0"/>
            <c:spPr>
              <a:solidFill>
                <a:schemeClr val="accent3"/>
              </a:solidFill>
              <a:ln w="19050">
                <a:solidFill>
                  <a:schemeClr val="bg1"/>
                </a:solidFill>
              </a:ln>
              <a:effectLst>
                <a:outerShdw blurRad="88900" sx="102000" sy="102000" algn="ctr" rotWithShape="0">
                  <a:prstClr val="black">
                    <a:alpha val="10000"/>
                  </a:prstClr>
                </a:outerShdw>
              </a:effectLst>
              <a:scene3d>
                <a:camera prst="orthographicFront"/>
                <a:lightRig rig="threePt" dir="t"/>
              </a:scene3d>
              <a:sp3d contourW="19050"/>
            </c:spPr>
          </c:dPt>
          <c:dPt>
            <c:idx val="3"/>
            <c:bubble3D val="0"/>
            <c:spPr>
              <a:solidFill>
                <a:schemeClr val="accent4"/>
              </a:solidFill>
              <a:ln w="19050">
                <a:solidFill>
                  <a:schemeClr val="bg1"/>
                </a:solidFill>
              </a:ln>
              <a:effectLst>
                <a:outerShdw blurRad="88900" sx="102000" sy="102000" algn="ctr" rotWithShape="0">
                  <a:prstClr val="black">
                    <a:alpha val="10000"/>
                  </a:prstClr>
                </a:outerShdw>
              </a:effectLst>
              <a:scene3d>
                <a:camera prst="orthographicFront"/>
                <a:lightRig rig="threePt" dir="t"/>
              </a:scene3d>
              <a:sp3d contourW="19050"/>
            </c:spPr>
          </c:dPt>
          <c:dPt>
            <c:idx val="4"/>
            <c:bubble3D val="0"/>
            <c:spPr>
              <a:solidFill>
                <a:schemeClr val="accent5"/>
              </a:solidFill>
              <a:ln w="19050">
                <a:solidFill>
                  <a:schemeClr val="bg1"/>
                </a:solidFill>
              </a:ln>
              <a:effectLst>
                <a:outerShdw blurRad="88900" sx="102000" sy="102000" algn="ctr" rotWithShape="0">
                  <a:prstClr val="black">
                    <a:alpha val="10000"/>
                  </a:prstClr>
                </a:outerShdw>
              </a:effectLst>
              <a:scene3d>
                <a:camera prst="orthographicFront"/>
                <a:lightRig rig="threePt" dir="t"/>
              </a:scene3d>
              <a:sp3d contourW="19050"/>
            </c:spPr>
          </c:dPt>
          <c:dPt>
            <c:idx val="5"/>
            <c:bubble3D val="0"/>
            <c:spPr>
              <a:solidFill>
                <a:schemeClr val="accent6">
                  <a:shade val="76667"/>
                </a:schemeClr>
              </a:solidFill>
              <a:ln w="19050">
                <a:solidFill>
                  <a:schemeClr val="bg1"/>
                </a:solidFill>
              </a:ln>
              <a:effectLst/>
              <a:scene3d>
                <a:camera prst="orthographicFront"/>
                <a:lightRig rig="threePt" dir="t"/>
              </a:scene3d>
              <a:sp3d contourW="19050"/>
            </c:spPr>
          </c:dPt>
          <c:dPt>
            <c:idx val="6"/>
            <c:bubble3D val="0"/>
            <c:spPr>
              <a:solidFill>
                <a:schemeClr val="accent1">
                  <a:tint val="76667"/>
                </a:schemeClr>
              </a:solidFill>
              <a:ln w="19050">
                <a:solidFill>
                  <a:schemeClr val="bg1"/>
                </a:solidFill>
              </a:ln>
              <a:effectLst/>
              <a:scene3d>
                <a:camera prst="orthographicFront"/>
                <a:lightRig rig="threePt" dir="t"/>
              </a:scene3d>
              <a:sp3d contourW="19050"/>
            </c:spPr>
          </c:dPt>
          <c:dPt>
            <c:idx val="7"/>
            <c:bubble3D val="0"/>
            <c:spPr>
              <a:solidFill>
                <a:schemeClr val="accent2">
                  <a:tint val="76667"/>
                </a:schemeClr>
              </a:solidFill>
              <a:ln w="19050">
                <a:solidFill>
                  <a:schemeClr val="bg1"/>
                </a:solidFill>
              </a:ln>
              <a:effectLst/>
              <a:scene3d>
                <a:camera prst="orthographicFront"/>
                <a:lightRig rig="threePt" dir="t"/>
              </a:scene3d>
              <a:sp3d contourW="19050"/>
            </c:spPr>
          </c:dPt>
          <c:dLbls>
            <c:dLbl>
              <c:idx val="0"/>
              <c:layout>
                <c:manualLayout>
                  <c:x val="0.239583333333333"/>
                  <c:y val="0.0555555555555556"/>
                </c:manualLayout>
              </c:layout>
              <c:numFmt formatCode="General" sourceLinked="1"/>
              <c:spPr>
                <a:solidFill>
                  <a:srgbClr val="FFFFFF"/>
                </a:solidFill>
                <a:ln w="12700">
                  <a:solidFill>
                    <a:schemeClr val="accent1">
                      <a:lumMod val="7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lumMod val="7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558333333333333"/>
                  <c:y val="0.305555555555556"/>
                </c:manualLayout>
              </c:layout>
              <c:numFmt formatCode="General" sourceLinked="1"/>
              <c:spPr>
                <a:solidFill>
                  <a:srgbClr val="FFFFFF"/>
                </a:solidFill>
                <a:ln w="12700">
                  <a:solidFill>
                    <a:schemeClr val="accent2">
                      <a:lumMod val="7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2">
                          <a:lumMod val="7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6875"/>
                  <c:y val="0.423611111111111"/>
                </c:manualLayout>
              </c:layout>
              <c:numFmt formatCode="General" sourceLinked="1"/>
              <c:spPr>
                <a:solidFill>
                  <a:srgbClr val="FFFFFF"/>
                </a:solidFill>
                <a:ln w="12700">
                  <a:solidFill>
                    <a:schemeClr val="accent3">
                      <a:lumMod val="7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3">
                          <a:lumMod val="7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875"/>
                  <c:y val="0.583333333333333"/>
                </c:manualLayout>
              </c:layout>
              <c:numFmt formatCode="General" sourceLinked="1"/>
              <c:spPr>
                <a:solidFill>
                  <a:srgbClr val="FFFFFF"/>
                </a:solidFill>
                <a:ln w="12700">
                  <a:solidFill>
                    <a:schemeClr val="accent4">
                      <a:lumMod val="7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4">
                          <a:lumMod val="7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229166666666667"/>
                  <c:y val="-0.277777777777778"/>
                </c:manualLayout>
              </c:layout>
              <c:numFmt formatCode="General" sourceLinked="1"/>
              <c:spPr>
                <a:solidFill>
                  <a:srgbClr val="FFFFFF"/>
                </a:solidFill>
                <a:ln w="12700">
                  <a:solidFill>
                    <a:schemeClr val="accent6"/>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6"/>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491666666666667"/>
                  <c:y val="0.24305555555555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2125"/>
                  <c:y val="0.5486111111111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0.254166666666667"/>
                  <c:y val="0.1076388888888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solidFill>
                <a:srgbClr val="FFFFFF"/>
              </a:solidFill>
              <a:ln w="12700">
                <a:solidFill>
                  <a:srgbClr val="000000">
                    <a:lumMod val="65000"/>
                    <a:lumOff val="35000"/>
                  </a:srgb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[工作簿1]Sheet1!$C$32:$C$39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[工作簿1]Sheet1!$D$32:$D$39</c:f>
              <c:numCache>
                <c:formatCode>#,##0.00</c:formatCode>
                <c:ptCount val="8"/>
                <c:pt idx="0">
                  <c:v>9725.52</c:v>
                </c:pt>
                <c:pt idx="1">
                  <c:v>0</c:v>
                </c:pt>
                <c:pt idx="2">
                  <c:v>0</c:v>
                </c:pt>
                <c:pt idx="3">
                  <c:v>0</c:v>
                </c:pt>
                <c:pt idx="4">
                  <c:v>97215.98</c:v>
                </c:pt>
                <c:pt idx="5">
                  <c:v>0</c:v>
                </c:pt>
                <c:pt idx="6">
                  <c:v>0</c:v>
                </c:pt>
                <c:pt idx="7">
                  <c:v>6726.21</c:v>
                </c:pt>
              </c:numCache>
            </c:numRef>
          </c:val>
        </c:ser>
        <c:dLbls>
          <c:showLegendKey val="0"/>
          <c:showVal val="0"/>
          <c:showCatName val="0"/>
          <c:showSerName val="0"/>
          <c:showPercent val="1"/>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cap="all" spc="0" baseline="0">
                <a:solidFill>
                  <a:schemeClr val="tx1"/>
                </a:solidFill>
                <a:latin typeface="+mn-lt"/>
                <a:ea typeface="+mn-ea"/>
                <a:cs typeface="+mn-cs"/>
              </a:defRPr>
            </a:pPr>
            <a:r>
              <a:t>支出决算结构图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Pt>
            <c:idx val="2"/>
            <c:bubble3D val="0"/>
            <c:spPr>
              <a:solidFill>
                <a:schemeClr val="accent3"/>
              </a:solidFill>
              <a:ln w="19050">
                <a:solidFill>
                  <a:schemeClr val="accent3">
                    <a:lumMod val="75000"/>
                  </a:schemeClr>
                </a:solidFill>
              </a:ln>
              <a:effectLst>
                <a:innerShdw blurRad="114300">
                  <a:schemeClr val="accent3">
                    <a:lumMod val="75000"/>
                  </a:schemeClr>
                </a:innerShdw>
              </a:effectLst>
            </c:spPr>
          </c:dPt>
          <c:dPt>
            <c:idx val="3"/>
            <c:bubble3D val="0"/>
            <c:spPr>
              <a:solidFill>
                <a:schemeClr val="accent4"/>
              </a:solidFill>
              <a:ln w="19050">
                <a:solidFill>
                  <a:schemeClr val="accent4">
                    <a:lumMod val="75000"/>
                  </a:schemeClr>
                </a:solidFill>
              </a:ln>
              <a:effectLst/>
              <a:scene3d>
                <a:camera prst="orthographicFront"/>
                <a:lightRig rig="threePt" dir="t"/>
              </a:scene3d>
              <a:sp3d contourW="19050"/>
            </c:spPr>
          </c:dPt>
          <c:dPt>
            <c:idx val="4"/>
            <c:bubble3D val="0"/>
            <c:spPr>
              <a:solidFill>
                <a:schemeClr val="accent5"/>
              </a:solidFill>
              <a:ln w="19050">
                <a:solidFill>
                  <a:schemeClr val="accent5">
                    <a:lumMod val="75000"/>
                  </a:schemeClr>
                </a:solidFill>
              </a:ln>
              <a:effectLst/>
              <a:scene3d>
                <a:camera prst="orthographicFront"/>
                <a:lightRig rig="threePt" dir="t"/>
              </a:scene3d>
              <a:sp3d contourW="19050"/>
            </c:spPr>
          </c:dPt>
          <c:dLbls>
            <c:dLbl>
              <c:idx val="0"/>
              <c:layout>
                <c:manualLayout>
                  <c:x val="0.0145833333333333"/>
                  <c:y val="-0.329861111111111"/>
                </c:manualLayout>
              </c:layout>
              <c:numFmt formatCode="General" sourceLinked="1"/>
              <c:spPr>
                <a:solidFill>
                  <a:schemeClr val="bg1"/>
                </a:solidFill>
                <a:ln>
                  <a:solidFill>
                    <a:schemeClr val="accent1">
                      <a:lumMod val="75000"/>
                    </a:schemeClr>
                  </a:solidFill>
                </a:ln>
                <a:effectLst>
                  <a:outerShdw blurRad="50800" dist="25400" dir="2700000" algn="tl" rotWithShape="0">
                    <a:schemeClr val="accent1">
                      <a:lumMod val="50000"/>
                      <a:alpha val="40000"/>
                    </a:scheme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322916666666667"/>
                  <c:y val="0.0520833333333333"/>
                </c:manualLayout>
              </c:layout>
              <c:numFmt formatCode="General" sourceLinked="1"/>
              <c:spPr>
                <a:solidFill>
                  <a:schemeClr val="bg1"/>
                </a:solidFill>
                <a:ln>
                  <a:solidFill>
                    <a:schemeClr val="accent2"/>
                  </a:solidFill>
                </a:ln>
                <a:effectLst>
                  <a:outerShdw blurRad="50800" dist="25400" dir="2700000" algn="tl" rotWithShape="0">
                    <a:schemeClr val="accent2">
                      <a:lumMod val="50000"/>
                      <a:alpha val="40000"/>
                    </a:scheme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383333333333333"/>
                  <c:y val="0.315972222222222"/>
                </c:manualLayout>
              </c:layout>
              <c:numFmt formatCode="General" sourceLinked="1"/>
              <c:spPr>
                <a:solidFill>
                  <a:schemeClr val="bg1"/>
                </a:solidFill>
                <a:ln>
                  <a:solidFill>
                    <a:schemeClr val="accent5"/>
                  </a:solidFill>
                </a:ln>
                <a:effectLst>
                  <a:outerShdw blurRad="50800" dist="25400" dir="2700000" algn="tl" rotWithShape="0">
                    <a:schemeClr val="accent5">
                      <a:lumMod val="50000"/>
                      <a:alpha val="40000"/>
                    </a:scheme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5"/>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38125"/>
                  <c:y val="0.298611111111111"/>
                </c:manualLayout>
              </c:layout>
              <c:numFmt formatCode="General" sourceLinked="1"/>
              <c:spPr>
                <a:solidFill>
                  <a:schemeClr val="bg1"/>
                </a:solidFill>
                <a:ln>
                  <a:solidFill>
                    <a:schemeClr val="accent4"/>
                  </a:solidFill>
                </a:ln>
                <a:effectLst>
                  <a:outerShdw blurRad="50800" dist="254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4"/>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308333333333333"/>
                  <c:y val="0.0798611111111111"/>
                </c:manualLayout>
              </c:layout>
              <c:numFmt formatCode="General" sourceLinked="1"/>
              <c:spPr>
                <a:solidFill>
                  <a:schemeClr val="bg1"/>
                </a:solidFill>
                <a:ln>
                  <a:solidFill>
                    <a:schemeClr val="accent5"/>
                  </a:solidFill>
                </a:ln>
                <a:effectLst>
                  <a:outerShdw blurRad="50800" dist="254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5"/>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solidFill>
                <a:schemeClr val="bg1"/>
              </a:solidFill>
              <a:ln>
                <a:solidFill>
                  <a:schemeClr val="accent1"/>
                </a:solidFill>
              </a:ln>
              <a:effectLst>
                <a:outerShdw blurRad="50800" dist="254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[工作簿1]Sheet1!$C$46:$C$50</c:f>
              <c:strCache>
                <c:ptCount val="5"/>
                <c:pt idx="0">
                  <c:v>基本支出</c:v>
                </c:pt>
                <c:pt idx="1">
                  <c:v>项目支出</c:v>
                </c:pt>
                <c:pt idx="2">
                  <c:v>上缴上级支出</c:v>
                </c:pt>
                <c:pt idx="3">
                  <c:v>经营支出</c:v>
                </c:pt>
                <c:pt idx="4">
                  <c:v>对附属单位补助支出</c:v>
                </c:pt>
              </c:strCache>
            </c:strRef>
          </c:cat>
          <c:val>
            <c:numRef>
              <c:f>[工作簿1]Sheet1!$D$46:$D$50</c:f>
              <c:numCache>
                <c:formatCode>#,##0.00</c:formatCode>
                <c:ptCount val="5"/>
                <c:pt idx="0">
                  <c:v>116534.19</c:v>
                </c:pt>
                <c:pt idx="1">
                  <c:v>3713.03</c:v>
                </c:pt>
                <c:pt idx="2">
                  <c:v>0</c:v>
                </c:pt>
                <c:pt idx="3">
                  <c:v>0</c:v>
                </c:pt>
                <c:pt idx="4">
                  <c:v>0</c:v>
                </c:pt>
              </c:numCache>
            </c:numRef>
          </c:val>
        </c:ser>
        <c:dLbls>
          <c:showLegendKey val="0"/>
          <c:showVal val="0"/>
          <c:showCatName val="1"/>
          <c:showSerName val="0"/>
          <c:showPercent val="1"/>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[工作簿1]Sheet1!$B$65:$B$66</c:f>
              <c:strCache>
                <c:ptCount val="2"/>
                <c:pt idx="0">
                  <c:v>2021年财政拨款收支总计</c:v>
                </c:pt>
                <c:pt idx="1">
                  <c:v>2022年财政拨款收支总计</c:v>
                </c:pt>
              </c:strCache>
            </c:strRef>
          </c:cat>
          <c:val>
            <c:numRef>
              <c:f>[工作簿1]Sheet1!$C$65:$C$66</c:f>
              <c:numCache>
                <c:formatCode>General</c:formatCode>
                <c:ptCount val="2"/>
                <c:pt idx="0">
                  <c:v>9708.86</c:v>
                </c:pt>
                <c:pt idx="1">
                  <c:v>9725.52</c:v>
                </c:pt>
              </c:numCache>
            </c:numRef>
          </c:val>
        </c:ser>
        <c:dLbls>
          <c:showLegendKey val="0"/>
          <c:showVal val="1"/>
          <c:showCatName val="0"/>
          <c:showSerName val="0"/>
          <c:showPercent val="0"/>
          <c:showBubbleSize val="0"/>
        </c:dLbls>
        <c:gapWidth val="219"/>
        <c:overlap val="-27"/>
        <c:axId val="758250948"/>
        <c:axId val="270319999"/>
      </c:barChart>
      <c:catAx>
        <c:axId val="7582509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19999"/>
        <c:crosses val="autoZero"/>
        <c:auto val="1"/>
        <c:lblAlgn val="ctr"/>
        <c:lblOffset val="100"/>
        <c:noMultiLvlLbl val="0"/>
      </c:catAx>
      <c:valAx>
        <c:axId val="270319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2509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[工作簿1]Sheet1!$B$65:$B$66</c:f>
              <c:strCache>
                <c:ptCount val="2"/>
                <c:pt idx="0">
                  <c:v>2021年一般公共预算财政拨款支出</c:v>
                </c:pt>
                <c:pt idx="1">
                  <c:v>2022年一般公共预算财政拨款支出</c:v>
                </c:pt>
              </c:strCache>
            </c:strRef>
          </c:cat>
          <c:val>
            <c:numRef>
              <c:f>[工作簿1]Sheet1!$C$65:$C$66</c:f>
              <c:numCache>
                <c:formatCode>General</c:formatCode>
                <c:ptCount val="2"/>
                <c:pt idx="0">
                  <c:v>9708.86</c:v>
                </c:pt>
                <c:pt idx="1">
                  <c:v>9725.52</c:v>
                </c:pt>
              </c:numCache>
            </c:numRef>
          </c:val>
        </c:ser>
        <c:dLbls>
          <c:showLegendKey val="0"/>
          <c:showVal val="1"/>
          <c:showCatName val="0"/>
          <c:showSerName val="0"/>
          <c:showPercent val="0"/>
          <c:showBubbleSize val="0"/>
        </c:dLbls>
        <c:gapWidth val="219"/>
        <c:overlap val="-27"/>
        <c:axId val="758250948"/>
        <c:axId val="270319999"/>
      </c:barChart>
      <c:catAx>
        <c:axId val="7582509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19999"/>
        <c:crosses val="autoZero"/>
        <c:auto val="1"/>
        <c:lblAlgn val="ctr"/>
        <c:lblOffset val="100"/>
        <c:noMultiLvlLbl val="0"/>
      </c:catAx>
      <c:valAx>
        <c:axId val="270319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2509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社会保障和就业支出, 2,570.6</a:t>
                    </a:r>
                    <a:r>
                      <a:rPr lang="en-US" altLang="zh-CN"/>
                      <a:t>8</a:t>
                    </a:r>
                    <a:endParaRPr lang="en-US" altLang="zh-CN"/>
                  </a:p>
                </c:rich>
              </c:tx>
              <c:dLblPos val="in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[工作簿1.xlsx]Sheet1!$C$78:$C$80</c:f>
              <c:strCache>
                <c:ptCount val="3"/>
                <c:pt idx="0">
                  <c:v>科学技术支出</c:v>
                </c:pt>
                <c:pt idx="1">
                  <c:v>社会保障和就业支出</c:v>
                </c:pt>
                <c:pt idx="2">
                  <c:v>卫生健康支出</c:v>
                </c:pt>
              </c:strCache>
            </c:strRef>
          </c:cat>
          <c:val>
            <c:numRef>
              <c:f>[工作簿1.xlsx]Sheet1!$D$78:$D$80</c:f>
              <c:numCache>
                <c:formatCode>#,##0.00</c:formatCode>
                <c:ptCount val="3"/>
                <c:pt idx="0">
                  <c:v>26.95</c:v>
                </c:pt>
                <c:pt idx="1">
                  <c:v>2570.69</c:v>
                </c:pt>
                <c:pt idx="2">
                  <c:v>7127.88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4】">
    <a:dk1>
      <a:srgbClr val="000000"/>
    </a:dk1>
    <a:lt1>
      <a:srgbClr val="FFFFFF"/>
    </a:lt1>
    <a:dk2>
      <a:srgbClr val="0C0E1F"/>
    </a:dk2>
    <a:lt2>
      <a:srgbClr val="FEFFFF"/>
    </a:lt2>
    <a:accent1>
      <a:srgbClr val="FEB348"/>
    </a:accent1>
    <a:accent2>
      <a:srgbClr val="FE7B48"/>
    </a:accent2>
    <a:accent3>
      <a:srgbClr val="5FB6FF"/>
    </a:accent3>
    <a:accent4>
      <a:srgbClr val="3787FF"/>
    </a:accent4>
    <a:accent5>
      <a:srgbClr val="4165FF"/>
    </a:accent5>
    <a:accent6>
      <a:srgbClr val="48C8A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0.01">
    <a:dk1>
      <a:srgbClr val="000000"/>
    </a:dk1>
    <a:lt1>
      <a:srgbClr val="FFFFFF"/>
    </a:lt1>
    <a:dk2>
      <a:srgbClr val="D4EBFB"/>
    </a:dk2>
    <a:lt2>
      <a:srgbClr val="93D9FA"/>
    </a:lt2>
    <a:accent1>
      <a:srgbClr val="3CB8EC"/>
    </a:accent1>
    <a:accent2>
      <a:srgbClr val="77D1E8"/>
    </a:accent2>
    <a:accent3>
      <a:srgbClr val="FAC114"/>
    </a:accent3>
    <a:accent4>
      <a:srgbClr val="FE961C"/>
    </a:accent4>
    <a:accent5>
      <a:srgbClr val="E15441"/>
    </a:accent5>
    <a:accent6>
      <a:srgbClr val="D73129"/>
    </a:accent6>
    <a:hlink>
      <a:srgbClr val="3C72AD"/>
    </a:hlink>
    <a:folHlink>
      <a:srgbClr val="E0631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9273</Words>
  <Characters>10139</Characters>
  <Lines>6</Lines>
  <Paragraphs>12</Paragraphs>
  <TotalTime>391</TotalTime>
  <ScaleCrop>false</ScaleCrop>
  <LinksUpToDate>false</LinksUpToDate>
  <CharactersWithSpaces>10370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2022-08-17T03:01:00Z</dcterms:created>
  <dc:creator>曹颖</dc:creator>
  <cp:lastModifiedBy>本宝宝~</cp:lastModifiedBy>
  <cp:lastPrinted>2023-09-21T07:56:01Z</cp:lastPrinted>
  <dcterms:modified xsi:type="dcterms:W3CDTF">2023-09-21T09:31:11Z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869098A6B274488D9FD0BA7B574A3D42</vt:lpwstr>
  </property>
</Properties>
</file>